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jc w:val="center"/>
        <w:rPr>
          <w:bCs/>
          <w:color w:val="000000"/>
          <w:sz w:val="28"/>
          <w:szCs w:val="28"/>
        </w:rPr>
      </w:pPr>
    </w:p>
    <w:p>
      <w:pPr>
        <w:pBdr>
          <w:top w:val="none" w:color="000000" w:sz="0" w:space="0"/>
          <w:left w:val="none" w:color="000000" w:sz="0" w:space="0"/>
          <w:bottom w:val="none" w:color="000000" w:sz="0" w:space="0"/>
          <w:right w:val="none" w:color="000000" w:sz="0" w:space="0"/>
        </w:pBdr>
        <w:jc w:val="center"/>
        <w:rPr>
          <w:b/>
          <w:color w:val="000000"/>
          <w:sz w:val="84"/>
          <w:szCs w:val="84"/>
        </w:rPr>
      </w:pPr>
      <w:r>
        <w:rPr>
          <w:rFonts w:hint="eastAsia"/>
          <w:b/>
          <w:color w:val="000000"/>
          <w:sz w:val="84"/>
          <w:szCs w:val="84"/>
        </w:rPr>
        <w:t>零食有鸣</w:t>
      </w:r>
    </w:p>
    <w:p>
      <w:pPr>
        <w:pBdr>
          <w:top w:val="none" w:color="000000" w:sz="0" w:space="0"/>
          <w:left w:val="none" w:color="000000" w:sz="0" w:space="0"/>
          <w:bottom w:val="none" w:color="000000" w:sz="0" w:space="0"/>
          <w:right w:val="none" w:color="000000" w:sz="0" w:space="0"/>
        </w:pBdr>
        <w:jc w:val="center"/>
        <w:rPr>
          <w:b/>
          <w:color w:val="FF0000"/>
          <w:sz w:val="84"/>
          <w:szCs w:val="84"/>
        </w:rPr>
      </w:pPr>
      <w:r>
        <w:rPr>
          <w:rFonts w:hint="eastAsia"/>
          <w:b/>
          <w:color w:val="FF0000"/>
          <w:sz w:val="84"/>
          <w:szCs w:val="84"/>
        </w:rPr>
        <w:t>私有云系统项目招标</w:t>
      </w: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招</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件</w:t>
      </w: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成都蓉志楚远供应链管理有限公司            </w:t>
      </w:r>
    </w:p>
    <w:p>
      <w:pPr>
        <w:pBdr>
          <w:top w:val="none" w:color="000000" w:sz="0" w:space="0"/>
          <w:left w:val="none" w:color="000000" w:sz="0" w:space="0"/>
          <w:bottom w:val="none" w:color="000000" w:sz="0" w:space="0"/>
          <w:right w:val="none" w:color="000000" w:sz="0" w:space="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pPr>
        <w:autoSpaceDE w:val="0"/>
        <w:autoSpaceDN w:val="0"/>
        <w:adjustRightInd w:val="0"/>
        <w:spacing w:before="12" w:line="480" w:lineRule="exact"/>
        <w:ind w:right="323"/>
        <w:rPr>
          <w:bCs/>
          <w:kern w:val="0"/>
          <w:sz w:val="28"/>
          <w:szCs w:val="28"/>
          <w:u w:val="single"/>
        </w:rPr>
      </w:pPr>
      <w:r>
        <w:rPr>
          <w:rFonts w:hint="eastAsia"/>
          <w:bCs/>
          <w:kern w:val="0"/>
          <w:sz w:val="28"/>
          <w:szCs w:val="28"/>
        </w:rPr>
        <w:t>招标时间：</w:t>
      </w:r>
      <w:r>
        <w:rPr>
          <w:rFonts w:hint="eastAsia"/>
          <w:bCs/>
          <w:kern w:val="0"/>
          <w:sz w:val="28"/>
          <w:szCs w:val="28"/>
          <w:u w:val="single"/>
        </w:rPr>
        <w:t>2023.6.7</w:t>
      </w:r>
    </w:p>
    <w:p>
      <w:pPr>
        <w:pStyle w:val="10"/>
        <w:rPr>
          <w:u w:val="single"/>
        </w:rPr>
      </w:pPr>
      <w:r>
        <w:rPr>
          <w:rFonts w:hint="eastAsia"/>
          <w:bCs/>
          <w:kern w:val="0"/>
          <w:sz w:val="28"/>
          <w:szCs w:val="28"/>
        </w:rPr>
        <w:t xml:space="preserve">联系人：  </w:t>
      </w:r>
      <w:r>
        <w:rPr>
          <w:rFonts w:hint="eastAsia"/>
          <w:bCs/>
          <w:kern w:val="0"/>
          <w:sz w:val="28"/>
          <w:szCs w:val="28"/>
          <w:u w:val="single"/>
        </w:rPr>
        <w:t xml:space="preserve">郭虹    </w:t>
      </w:r>
      <w:r>
        <w:rPr>
          <w:rFonts w:hint="eastAsia"/>
          <w:bCs/>
          <w:kern w:val="0"/>
          <w:sz w:val="28"/>
          <w:szCs w:val="28"/>
        </w:rPr>
        <w:t>联系方式：</w:t>
      </w:r>
      <w:r>
        <w:rPr>
          <w:sz w:val="24"/>
          <w:szCs w:val="24"/>
          <w:u w:val="single"/>
        </w:rPr>
        <w:t>17765559767</w:t>
      </w:r>
    </w:p>
    <w:p>
      <w:pPr>
        <w:rPr>
          <w:b/>
          <w:sz w:val="44"/>
          <w:szCs w:val="44"/>
        </w:rPr>
      </w:pPr>
    </w:p>
    <w:p>
      <w:pPr>
        <w:rPr>
          <w:b/>
          <w:sz w:val="44"/>
          <w:szCs w:val="44"/>
        </w:rPr>
      </w:pPr>
    </w:p>
    <w:p>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pPr>
        <w:pStyle w:val="10"/>
      </w:pPr>
    </w:p>
    <w:p>
      <w:pPr>
        <w:pStyle w:val="18"/>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"_Toc14080" </w:instrText>
      </w:r>
      <w:r>
        <w:fldChar w:fldCharType="separate"/>
      </w:r>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"_Toc23536" </w:instrText>
      </w:r>
      <w:r>
        <w:fldChar w:fldCharType="separate"/>
      </w:r>
      <w:r>
        <w:rPr>
          <w:rFonts w:hint="eastAsia"/>
          <w:sz w:val="28"/>
          <w:szCs w:val="28"/>
        </w:rPr>
        <w:t>第二章：招标须知</w:t>
      </w:r>
      <w:r>
        <w:rPr>
          <w:rFonts w:hint="eastAsia"/>
          <w:sz w:val="28"/>
          <w:szCs w:val="28"/>
        </w:rPr>
        <w:tab/>
      </w:r>
      <w:r>
        <w:rPr>
          <w:rFonts w:hint="eastAsia"/>
          <w:sz w:val="28"/>
          <w:szCs w:val="28"/>
        </w:rPr>
        <w:t>6</w:t>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"_Toc29651" </w:instrText>
      </w:r>
      <w:r>
        <w:fldChar w:fldCharType="separate"/>
      </w:r>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"_Toc4604" </w:instrText>
      </w:r>
      <w:r>
        <w:fldChar w:fldCharType="separate"/>
      </w:r>
      <w:r>
        <w:rPr>
          <w:rFonts w:hint="eastAsia"/>
          <w:sz w:val="28"/>
          <w:szCs w:val="28"/>
        </w:rPr>
        <w:t>第四章 ：技术部分</w:t>
      </w:r>
      <w:r>
        <w:rPr>
          <w:rFonts w:hint="eastAsia"/>
          <w:sz w:val="28"/>
          <w:szCs w:val="28"/>
        </w:rPr>
        <w:tab/>
      </w:r>
      <w:r>
        <w:rPr>
          <w:rFonts w:hint="eastAsia"/>
          <w:sz w:val="28"/>
          <w:szCs w:val="28"/>
        </w:rPr>
        <w:fldChar w:fldCharType="end"/>
      </w:r>
      <w:r>
        <w:rPr>
          <w:rFonts w:hint="eastAsia"/>
          <w:sz w:val="28"/>
          <w:szCs w:val="28"/>
        </w:rPr>
        <w:t>18</w:t>
      </w:r>
    </w:p>
    <w:p>
      <w:pPr>
        <w:pStyle w:val="18"/>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r>
      <w:r>
        <w:rPr>
          <w:rFonts w:hint="eastAsia"/>
          <w:sz w:val="28"/>
          <w:szCs w:val="28"/>
        </w:rPr>
        <w:t>20</w:t>
      </w:r>
    </w:p>
    <w:p>
      <w:pPr>
        <w:pStyle w:val="18"/>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r>
      <w:r>
        <w:rPr>
          <w:rFonts w:hint="eastAsia"/>
          <w:sz w:val="28"/>
          <w:szCs w:val="28"/>
        </w:rPr>
        <w:t>32</w:t>
      </w:r>
    </w:p>
    <w:p>
      <w:pPr>
        <w:spacing w:line="480" w:lineRule="auto"/>
        <w:rPr>
          <w:b/>
          <w:color w:val="000000"/>
          <w:sz w:val="44"/>
          <w:szCs w:val="44"/>
        </w:rPr>
      </w:pPr>
      <w:r>
        <w:rPr>
          <w:rFonts w:hint="eastAsia"/>
          <w:sz w:val="28"/>
          <w:szCs w:val="28"/>
        </w:rPr>
        <w:fldChar w:fldCharType="end"/>
      </w:r>
      <w:bookmarkStart w:id="1" w:name="_Toc13486"/>
      <w:bookmarkStart w:id="2" w:name="_Toc14080"/>
    </w:p>
    <w:p>
      <w:pPr>
        <w:pStyle w:val="10"/>
        <w:rPr>
          <w:b/>
          <w:color w:val="000000"/>
          <w:sz w:val="44"/>
          <w:szCs w:val="44"/>
        </w:rPr>
      </w:pPr>
    </w:p>
    <w:p>
      <w:pPr>
        <w:pStyle w:val="11"/>
        <w:rPr>
          <w:b/>
          <w:sz w:val="44"/>
          <w:szCs w:val="44"/>
        </w:rPr>
      </w:pPr>
    </w:p>
    <w:p>
      <w:pPr>
        <w:rPr>
          <w:b/>
          <w:color w:val="000000"/>
          <w:sz w:val="44"/>
          <w:szCs w:val="44"/>
        </w:rPr>
      </w:pPr>
    </w:p>
    <w:p>
      <w:pPr>
        <w:rPr>
          <w:b/>
          <w:color w:val="000000"/>
          <w:sz w:val="44"/>
          <w:szCs w:val="44"/>
        </w:rPr>
      </w:pPr>
      <w:r>
        <w:rPr>
          <w:b/>
          <w:color w:val="000000"/>
          <w:sz w:val="44"/>
          <w:szCs w:val="44"/>
        </w:rPr>
        <w:br w:type="page"/>
      </w: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center"/>
        <w:outlineLvl w:val="0"/>
        <w:rPr>
          <w:b/>
          <w:sz w:val="44"/>
          <w:szCs w:val="44"/>
        </w:rPr>
      </w:pPr>
      <w:r>
        <w:rPr>
          <w:rFonts w:hint="eastAsia"/>
          <w:b/>
          <w:color w:val="000000"/>
          <w:sz w:val="44"/>
          <w:szCs w:val="44"/>
        </w:rPr>
        <w:t>第一章   招标公告</w:t>
      </w:r>
      <w:bookmarkEnd w:id="0"/>
      <w:bookmarkEnd w:id="1"/>
      <w:bookmarkEnd w:id="2"/>
    </w:p>
    <w:p>
      <w:pPr>
        <w:spacing w:line="360" w:lineRule="auto"/>
        <w:ind w:firstLine="560" w:firstLineChars="200"/>
        <w:rPr>
          <w:sz w:val="24"/>
          <w:szCs w:val="24"/>
        </w:rPr>
      </w:pPr>
      <w:r>
        <w:rPr>
          <w:rFonts w:hint="eastAsia"/>
          <w:sz w:val="28"/>
          <w:szCs w:val="28"/>
        </w:rPr>
        <w:t>成都蓉志楚远供应链管理有限公司拟对</w:t>
      </w:r>
      <w:r>
        <w:rPr>
          <w:rFonts w:hint="eastAsia"/>
          <w:sz w:val="28"/>
          <w:szCs w:val="28"/>
          <w:u w:val="single"/>
        </w:rPr>
        <w:t>私有云</w:t>
      </w:r>
      <w:r>
        <w:rPr>
          <w:rFonts w:hint="eastAsia"/>
          <w:color w:val="FF0000"/>
          <w:sz w:val="28"/>
          <w:szCs w:val="28"/>
          <w:u w:val="single"/>
        </w:rPr>
        <w:t>项目</w:t>
      </w:r>
      <w:r>
        <w:rPr>
          <w:rFonts w:hint="eastAsia"/>
          <w:sz w:val="28"/>
          <w:szCs w:val="28"/>
        </w:rPr>
        <w:t>采用邀请招标方式进行招标，特邀请符合本次招标要求的投标单位参加本项目的招标。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3" w:name="_Toc885"/>
      <w:bookmarkStart w:id="4" w:name="_Toc16342"/>
      <w:bookmarkStart w:id="5" w:name="_Toc30698"/>
      <w:r>
        <w:rPr>
          <w:rFonts w:hint="eastAsia"/>
          <w:b/>
          <w:color w:val="000000"/>
          <w:sz w:val="28"/>
          <w:szCs w:val="28"/>
        </w:rPr>
        <w:t>招标单位</w:t>
      </w:r>
      <w:bookmarkEnd w:id="3"/>
      <w:bookmarkEnd w:id="4"/>
      <w:bookmarkEnd w:id="5"/>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招标单位：成都蓉志楚远供应链管理有限公司</w:t>
      </w:r>
    </w:p>
    <w:p>
      <w:pPr>
        <w:numPr>
          <w:ilvl w:val="0"/>
          <w:numId w:val="4"/>
        </w:numPr>
        <w:pBdr>
          <w:top w:val="none" w:color="000000" w:sz="0" w:space="0"/>
          <w:left w:val="none" w:color="000000" w:sz="0" w:space="0"/>
          <w:bottom w:val="none" w:color="000000" w:sz="0" w:space="0"/>
          <w:right w:val="none" w:color="000000" w:sz="0" w:space="0"/>
        </w:pBdr>
        <w:outlineLvl w:val="1"/>
        <w:rPr>
          <w:b/>
          <w:color w:val="000000"/>
          <w:sz w:val="28"/>
          <w:szCs w:val="28"/>
        </w:rPr>
      </w:pPr>
      <w:bookmarkStart w:id="6" w:name="_Toc4434"/>
      <w:bookmarkStart w:id="7" w:name="_Toc9878"/>
      <w:bookmarkStart w:id="8" w:name="_Toc25471"/>
      <w:r>
        <w:rPr>
          <w:rFonts w:hint="eastAsia"/>
          <w:b/>
          <w:color w:val="000000"/>
          <w:sz w:val="28"/>
          <w:szCs w:val="28"/>
        </w:rPr>
        <w:t>招标项目</w:t>
      </w:r>
      <w:bookmarkEnd w:id="6"/>
      <w:bookmarkEnd w:id="7"/>
      <w:bookmarkEnd w:id="8"/>
    </w:p>
    <w:p>
      <w:pPr>
        <w:spacing w:line="360" w:lineRule="auto"/>
        <w:ind w:firstLine="560" w:firstLineChars="200"/>
        <w:rPr>
          <w:color w:val="FF0000"/>
          <w:sz w:val="28"/>
          <w:szCs w:val="28"/>
        </w:rPr>
      </w:pPr>
      <w:r>
        <w:rPr>
          <w:rFonts w:hint="eastAsia"/>
          <w:sz w:val="28"/>
          <w:szCs w:val="28"/>
        </w:rPr>
        <w:t>招标项目名称：</w:t>
      </w:r>
      <w:r>
        <w:rPr>
          <w:rFonts w:hint="eastAsia"/>
          <w:color w:val="FF0000"/>
          <w:sz w:val="28"/>
          <w:szCs w:val="28"/>
          <w:u w:val="single"/>
        </w:rPr>
        <w:t>私有云平台</w:t>
      </w:r>
      <w:r>
        <w:rPr>
          <w:rFonts w:hint="eastAsia"/>
          <w:sz w:val="28"/>
          <w:szCs w:val="28"/>
        </w:rPr>
        <w:t>项目；具体详见招标附件一</w:t>
      </w:r>
      <w:r>
        <w:rPr>
          <w:rFonts w:hint="eastAsia"/>
          <w:color w:val="FF0000"/>
          <w:sz w:val="28"/>
          <w:szCs w:val="28"/>
          <w:u w:val="single"/>
        </w:rPr>
        <w:t>《私有云平台技术需求》</w:t>
      </w:r>
      <w:r>
        <w:rPr>
          <w:rFonts w:hint="eastAsia"/>
          <w:sz w:val="28"/>
          <w:szCs w:val="28"/>
        </w:rPr>
        <w:t>、</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9" w:name="_Toc13361"/>
      <w:bookmarkStart w:id="10" w:name="_Toc16497"/>
      <w:r>
        <w:rPr>
          <w:rFonts w:hint="eastAsia"/>
          <w:b/>
          <w:color w:val="000000"/>
          <w:sz w:val="28"/>
          <w:szCs w:val="28"/>
        </w:rPr>
        <w:t>招标资格标准</w:t>
      </w:r>
      <w:bookmarkEnd w:id="9"/>
      <w:bookmarkEnd w:id="10"/>
    </w:p>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81"/>
        <w:gridCol w:w="655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1" w:name="_Toc4876"/>
            <w:r>
              <w:rPr>
                <w:rFonts w:hint="eastAsia"/>
                <w:sz w:val="28"/>
                <w:szCs w:val="32"/>
              </w:rPr>
              <w:t>序号</w:t>
            </w:r>
            <w:bookmarkEnd w:id="11"/>
          </w:p>
        </w:tc>
        <w:tc>
          <w:tcPr>
            <w:tcW w:w="1781" w:type="dxa"/>
            <w:vAlign w:val="center"/>
          </w:tcPr>
          <w:p>
            <w:pPr>
              <w:rPr>
                <w:sz w:val="28"/>
                <w:szCs w:val="32"/>
              </w:rPr>
            </w:pPr>
            <w:bookmarkStart w:id="12" w:name="_Toc23365"/>
            <w:r>
              <w:rPr>
                <w:rFonts w:hint="eastAsia"/>
                <w:sz w:val="28"/>
                <w:szCs w:val="32"/>
              </w:rPr>
              <w:t>名称</w:t>
            </w:r>
            <w:bookmarkEnd w:id="12"/>
          </w:p>
        </w:tc>
        <w:tc>
          <w:tcPr>
            <w:tcW w:w="6555" w:type="dxa"/>
            <w:vAlign w:val="center"/>
          </w:tcPr>
          <w:p>
            <w:pPr>
              <w:rPr>
                <w:sz w:val="28"/>
                <w:szCs w:val="32"/>
              </w:rPr>
            </w:pPr>
            <w:bookmarkStart w:id="13" w:name="_Toc25259"/>
            <w:r>
              <w:rPr>
                <w:rFonts w:hint="eastAsia"/>
                <w:sz w:val="28"/>
                <w:szCs w:val="32"/>
              </w:rPr>
              <w:t>编列内容</w:t>
            </w:r>
            <w:bookmarkEnd w:id="13"/>
          </w:p>
        </w:tc>
        <w:tc>
          <w:tcPr>
            <w:tcW w:w="904" w:type="dxa"/>
            <w:vAlign w:val="center"/>
          </w:tcPr>
          <w:p>
            <w:pPr>
              <w:rPr>
                <w:sz w:val="28"/>
                <w:szCs w:val="32"/>
              </w:rPr>
            </w:pPr>
            <w:bookmarkStart w:id="14" w:name="_Toc2999"/>
            <w:r>
              <w:rPr>
                <w:rFonts w:hint="eastAsia"/>
                <w:sz w:val="28"/>
                <w:szCs w:val="32"/>
              </w:rPr>
              <w:t>备注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5" w:name="_Toc29836"/>
            <w:r>
              <w:rPr>
                <w:rFonts w:hint="eastAsia"/>
                <w:sz w:val="28"/>
                <w:szCs w:val="32"/>
              </w:rPr>
              <w:t>1</w:t>
            </w:r>
            <w:bookmarkEnd w:id="15"/>
          </w:p>
        </w:tc>
        <w:tc>
          <w:tcPr>
            <w:tcW w:w="1781" w:type="dxa"/>
            <w:vAlign w:val="center"/>
          </w:tcPr>
          <w:p>
            <w:pPr>
              <w:rPr>
                <w:sz w:val="28"/>
                <w:szCs w:val="32"/>
              </w:rPr>
            </w:pPr>
            <w:r>
              <w:rPr>
                <w:rFonts w:hint="eastAsia"/>
                <w:sz w:val="28"/>
                <w:szCs w:val="32"/>
              </w:rPr>
              <w:t>投标单位资质要求</w:t>
            </w:r>
          </w:p>
        </w:tc>
        <w:tc>
          <w:tcPr>
            <w:tcW w:w="6555" w:type="dxa"/>
            <w:vAlign w:val="center"/>
          </w:tcPr>
          <w:p>
            <w:pPr>
              <w:rPr>
                <w:sz w:val="28"/>
                <w:szCs w:val="32"/>
              </w:rPr>
            </w:pPr>
            <w:r>
              <w:rPr>
                <w:rFonts w:hint="eastAsia"/>
                <w:sz w:val="28"/>
                <w:szCs w:val="32"/>
              </w:rPr>
              <w:t>1、在中华人民共和国境内依法注册，持有最新的有效的营业执照（五证合一），相关资质证书；</w:t>
            </w:r>
          </w:p>
          <w:p>
            <w:pPr>
              <w:rPr>
                <w:sz w:val="28"/>
                <w:szCs w:val="32"/>
              </w:rPr>
            </w:pPr>
            <w:bookmarkStart w:id="16" w:name="_Toc26895"/>
            <w:r>
              <w:rPr>
                <w:rFonts w:hint="eastAsia"/>
                <w:sz w:val="28"/>
                <w:szCs w:val="32"/>
              </w:rPr>
              <w:t>2、</w:t>
            </w:r>
            <w:r>
              <w:rPr>
                <w:sz w:val="28"/>
                <w:szCs w:val="32"/>
              </w:rPr>
              <w:t>良好的商业信誉和健全的财务会计制度</w:t>
            </w:r>
            <w:r>
              <w:rPr>
                <w:rFonts w:hint="eastAsia"/>
                <w:sz w:val="28"/>
                <w:szCs w:val="32"/>
              </w:rPr>
              <w:t>，</w:t>
            </w:r>
            <w:r>
              <w:rPr>
                <w:sz w:val="28"/>
                <w:szCs w:val="32"/>
              </w:rPr>
              <w:t>在法律和财务上独立，能够独立承担民事责任</w:t>
            </w:r>
            <w:r>
              <w:rPr>
                <w:rFonts w:hint="eastAsia"/>
                <w:sz w:val="28"/>
                <w:szCs w:val="32"/>
              </w:rPr>
              <w:t>；</w:t>
            </w:r>
            <w:bookmarkEnd w:id="16"/>
            <w:r>
              <w:rPr>
                <w:rFonts w:hint="eastAsia"/>
                <w:sz w:val="28"/>
                <w:szCs w:val="32"/>
              </w:rPr>
              <w:t>提供近三年财务报表；公司征信报告；</w:t>
            </w:r>
          </w:p>
          <w:p>
            <w:pPr>
              <w:rPr>
                <w:sz w:val="28"/>
                <w:szCs w:val="32"/>
              </w:rPr>
            </w:pPr>
            <w:bookmarkStart w:id="17" w:name="_Toc11695"/>
            <w:r>
              <w:rPr>
                <w:rFonts w:hint="eastAsia"/>
                <w:sz w:val="28"/>
                <w:szCs w:val="32"/>
              </w:rPr>
              <w:t>3、招标项目在投标单位的经营范围内；</w:t>
            </w:r>
            <w:bookmarkEnd w:id="17"/>
            <w:r>
              <w:rPr>
                <w:rFonts w:hint="eastAsia"/>
                <w:sz w:val="28"/>
                <w:szCs w:val="32"/>
              </w:rPr>
              <w:t>具有履行合同所必需的设备和专业技术能力；</w:t>
            </w:r>
          </w:p>
        </w:tc>
        <w:tc>
          <w:tcPr>
            <w:tcW w:w="904" w:type="dxa"/>
            <w:vAlign w:val="center"/>
          </w:tcPr>
          <w:p>
            <w:pPr>
              <w:rPr>
                <w:sz w:val="28"/>
                <w:szCs w:val="32"/>
              </w:rPr>
            </w:pPr>
            <w:bookmarkStart w:id="18" w:name="_Toc11203"/>
            <w:r>
              <w:rPr>
                <w:rFonts w:hint="eastAsia"/>
                <w:sz w:val="28"/>
                <w:szCs w:val="32"/>
              </w:rPr>
              <w:t>支持验厂</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9" w:name="_Toc30305"/>
            <w:r>
              <w:rPr>
                <w:rFonts w:hint="eastAsia"/>
                <w:sz w:val="28"/>
                <w:szCs w:val="32"/>
              </w:rPr>
              <w:t>2</w:t>
            </w:r>
            <w:bookmarkEnd w:id="19"/>
          </w:p>
        </w:tc>
        <w:tc>
          <w:tcPr>
            <w:tcW w:w="1781" w:type="dxa"/>
            <w:vAlign w:val="center"/>
          </w:tcPr>
          <w:p>
            <w:pPr>
              <w:rPr>
                <w:sz w:val="28"/>
                <w:szCs w:val="32"/>
              </w:rPr>
            </w:pPr>
            <w:bookmarkStart w:id="20" w:name="_Toc3564"/>
            <w:r>
              <w:rPr>
                <w:rFonts w:hint="eastAsia"/>
                <w:sz w:val="28"/>
                <w:szCs w:val="32"/>
              </w:rPr>
              <w:t>投标单位资格条件</w:t>
            </w:r>
            <w:bookmarkEnd w:id="20"/>
          </w:p>
        </w:tc>
        <w:tc>
          <w:tcPr>
            <w:tcW w:w="6555" w:type="dxa"/>
            <w:vAlign w:val="center"/>
          </w:tcPr>
          <w:p>
            <w:pPr>
              <w:rPr>
                <w:sz w:val="28"/>
                <w:szCs w:val="32"/>
              </w:rPr>
            </w:pPr>
            <w:bookmarkStart w:id="21" w:name="_Toc20297"/>
            <w:r>
              <w:t>1</w:t>
            </w:r>
            <w:r>
              <w:rPr>
                <w:rFonts w:hint="eastAsia"/>
                <w:sz w:val="28"/>
                <w:szCs w:val="32"/>
              </w:rPr>
              <w:t>、项目负责人身份证（正反面）复印件，并填写常用手机号码两个；</w:t>
            </w:r>
          </w:p>
          <w:p>
            <w:pPr>
              <w:rPr>
                <w:sz w:val="28"/>
                <w:szCs w:val="32"/>
              </w:rPr>
            </w:pPr>
            <w:r>
              <w:rPr>
                <w:rFonts w:hint="eastAsia"/>
                <w:sz w:val="28"/>
                <w:szCs w:val="32"/>
              </w:rPr>
              <w:t>2、公司营业执照、电子/纸质公司简介、法人身份证复印件并盖公司鲜章（如果法人与项目负责人不是同一人，必须由公司出具授权书）；</w:t>
            </w:r>
          </w:p>
          <w:p>
            <w:pPr>
              <w:rPr>
                <w:sz w:val="28"/>
                <w:szCs w:val="32"/>
              </w:rPr>
            </w:pPr>
            <w:r>
              <w:rPr>
                <w:rFonts w:hint="eastAsia"/>
                <w:sz w:val="28"/>
                <w:szCs w:val="32"/>
              </w:rPr>
              <w:t>3、单位简介以及相似项目案例；</w:t>
            </w:r>
          </w:p>
          <w:p>
            <w:pPr>
              <w:rPr>
                <w:sz w:val="28"/>
                <w:szCs w:val="32"/>
              </w:rPr>
            </w:pPr>
            <w:r>
              <w:rPr>
                <w:rFonts w:hint="eastAsia"/>
                <w:sz w:val="28"/>
                <w:szCs w:val="32"/>
              </w:rPr>
              <w:t>4、单位注册资金不低于500万；</w:t>
            </w:r>
          </w:p>
          <w:p>
            <w:pPr>
              <w:rPr>
                <w:sz w:val="28"/>
                <w:szCs w:val="32"/>
              </w:rPr>
            </w:pPr>
            <w:r>
              <w:rPr>
                <w:rFonts w:hint="eastAsia"/>
                <w:sz w:val="28"/>
                <w:szCs w:val="32"/>
              </w:rPr>
              <w:t>5、甲方将进行背调审核，发现与提供信息不符立马取消资格</w:t>
            </w:r>
            <w:bookmarkEnd w:id="21"/>
            <w:r>
              <w:rPr>
                <w:rFonts w:hint="eastAsia"/>
                <w:sz w:val="28"/>
                <w:szCs w:val="32"/>
              </w:rPr>
              <w:t>。</w:t>
            </w:r>
          </w:p>
        </w:tc>
        <w:tc>
          <w:tcPr>
            <w:tcW w:w="904" w:type="dxa"/>
            <w:vAlign w:val="center"/>
          </w:tcPr>
          <w:p>
            <w:pPr>
              <w:rPr>
                <w:sz w:val="28"/>
                <w:szCs w:val="32"/>
              </w:rPr>
            </w:pPr>
            <w:bookmarkStart w:id="22" w:name="_Toc15660"/>
            <w:r>
              <w:rPr>
                <w:rFonts w:hint="eastAsia"/>
                <w:sz w:val="28"/>
                <w:szCs w:val="32"/>
              </w:rPr>
              <w:t>标书资料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3</w:t>
            </w:r>
          </w:p>
        </w:tc>
        <w:tc>
          <w:tcPr>
            <w:tcW w:w="1781" w:type="dxa"/>
            <w:vAlign w:val="center"/>
          </w:tcPr>
          <w:p>
            <w:pPr>
              <w:rPr>
                <w:sz w:val="28"/>
                <w:szCs w:val="32"/>
              </w:rPr>
            </w:pPr>
            <w:r>
              <w:rPr>
                <w:rFonts w:hint="eastAsia"/>
                <w:sz w:val="28"/>
                <w:szCs w:val="32"/>
              </w:rPr>
              <w:t>投标代理人</w:t>
            </w:r>
          </w:p>
        </w:tc>
        <w:tc>
          <w:tcPr>
            <w:tcW w:w="6555" w:type="dxa"/>
            <w:vAlign w:val="center"/>
          </w:tcPr>
          <w:p>
            <w:pPr>
              <w:rPr>
                <w:sz w:val="28"/>
                <w:szCs w:val="32"/>
              </w:rPr>
            </w:pPr>
            <w:r>
              <w:rPr>
                <w:rFonts w:hint="eastAsia"/>
                <w:sz w:val="28"/>
                <w:szCs w:val="32"/>
              </w:rPr>
              <w:t>代理人任职投标单位职员不低于</w:t>
            </w:r>
            <w:r>
              <w:rPr>
                <w:rFonts w:hint="eastAsia"/>
                <w:color w:val="FF0000"/>
                <w:sz w:val="28"/>
                <w:szCs w:val="32"/>
              </w:rPr>
              <w:t>1年</w:t>
            </w:r>
            <w:r>
              <w:rPr>
                <w:rFonts w:hint="eastAsia"/>
                <w:sz w:val="28"/>
                <w:szCs w:val="32"/>
              </w:rPr>
              <w:t>，社保缴纳不低于</w:t>
            </w:r>
            <w:r>
              <w:rPr>
                <w:rFonts w:hint="eastAsia"/>
                <w:color w:val="FF0000"/>
                <w:sz w:val="28"/>
                <w:szCs w:val="32"/>
              </w:rPr>
              <w:t>1年</w:t>
            </w:r>
            <w:r>
              <w:rPr>
                <w:rFonts w:hint="eastAsia"/>
                <w:sz w:val="28"/>
                <w:szCs w:val="32"/>
              </w:rPr>
              <w:t>；</w:t>
            </w:r>
          </w:p>
        </w:tc>
        <w:tc>
          <w:tcPr>
            <w:tcW w:w="904" w:type="dxa"/>
            <w:vAlign w:val="center"/>
          </w:tcPr>
          <w:p>
            <w:pPr>
              <w:rPr>
                <w:sz w:val="28"/>
                <w:szCs w:val="32"/>
              </w:rPr>
            </w:pPr>
            <w:r>
              <w:rPr>
                <w:rFonts w:hint="eastAsia"/>
                <w:sz w:val="28"/>
                <w:szCs w:val="32"/>
              </w:rPr>
              <w:t>标书资料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4</w:t>
            </w:r>
          </w:p>
        </w:tc>
        <w:tc>
          <w:tcPr>
            <w:tcW w:w="1781" w:type="dxa"/>
            <w:vAlign w:val="center"/>
          </w:tcPr>
          <w:p>
            <w:pPr>
              <w:rPr>
                <w:sz w:val="28"/>
                <w:szCs w:val="32"/>
              </w:rPr>
            </w:pPr>
            <w:r>
              <w:rPr>
                <w:rFonts w:hint="eastAsia"/>
                <w:sz w:val="28"/>
                <w:szCs w:val="32"/>
              </w:rPr>
              <w:t>等保</w:t>
            </w:r>
          </w:p>
        </w:tc>
        <w:tc>
          <w:tcPr>
            <w:tcW w:w="6555" w:type="dxa"/>
            <w:vAlign w:val="center"/>
          </w:tcPr>
          <w:p>
            <w:pPr>
              <w:rPr>
                <w:sz w:val="28"/>
                <w:szCs w:val="32"/>
              </w:rPr>
            </w:pPr>
            <w:r>
              <w:rPr>
                <w:rFonts w:hint="eastAsia"/>
                <w:sz w:val="28"/>
                <w:szCs w:val="32"/>
              </w:rPr>
              <w:t>核心管理系统通过信息系统安全等级保护</w:t>
            </w:r>
            <w:r>
              <w:rPr>
                <w:sz w:val="28"/>
                <w:szCs w:val="32"/>
              </w:rPr>
              <w:t>3级认证</w:t>
            </w:r>
          </w:p>
        </w:tc>
        <w:tc>
          <w:tcPr>
            <w:tcW w:w="904" w:type="dxa"/>
            <w:vAlign w:val="center"/>
          </w:tcPr>
          <w:p>
            <w:pP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5</w:t>
            </w:r>
          </w:p>
        </w:tc>
        <w:tc>
          <w:tcPr>
            <w:tcW w:w="1781" w:type="dxa"/>
            <w:vAlign w:val="center"/>
          </w:tcPr>
          <w:p>
            <w:pPr>
              <w:rPr>
                <w:sz w:val="28"/>
                <w:szCs w:val="32"/>
              </w:rPr>
            </w:pPr>
            <w:r>
              <w:rPr>
                <w:sz w:val="28"/>
                <w:szCs w:val="32"/>
              </w:rPr>
              <w:t>ISO 27001</w:t>
            </w:r>
          </w:p>
        </w:tc>
        <w:tc>
          <w:tcPr>
            <w:tcW w:w="6555" w:type="dxa"/>
            <w:vAlign w:val="center"/>
          </w:tcPr>
          <w:p>
            <w:pPr>
              <w:rPr>
                <w:sz w:val="28"/>
                <w:szCs w:val="32"/>
              </w:rPr>
            </w:pPr>
            <w:r>
              <w:rPr>
                <w:rFonts w:hint="eastAsia"/>
                <w:sz w:val="28"/>
                <w:szCs w:val="32"/>
              </w:rPr>
              <w:t>通过信息安全</w:t>
            </w:r>
            <w:r>
              <w:rPr>
                <w:sz w:val="28"/>
                <w:szCs w:val="32"/>
              </w:rPr>
              <w:t>ISO 27001认证</w:t>
            </w:r>
          </w:p>
        </w:tc>
        <w:tc>
          <w:tcPr>
            <w:tcW w:w="904" w:type="dxa"/>
            <w:vAlign w:val="center"/>
          </w:tcPr>
          <w:p>
            <w:pP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6</w:t>
            </w:r>
          </w:p>
        </w:tc>
        <w:tc>
          <w:tcPr>
            <w:tcW w:w="1781" w:type="dxa"/>
            <w:vAlign w:val="center"/>
          </w:tcPr>
          <w:p>
            <w:pPr>
              <w:rPr>
                <w:sz w:val="28"/>
                <w:szCs w:val="32"/>
              </w:rPr>
            </w:pPr>
            <w:r>
              <w:rPr>
                <w:rFonts w:hint="eastAsia"/>
                <w:sz w:val="28"/>
                <w:szCs w:val="32"/>
              </w:rPr>
              <w:t>可信云认证</w:t>
            </w:r>
          </w:p>
        </w:tc>
        <w:tc>
          <w:tcPr>
            <w:tcW w:w="6555" w:type="dxa"/>
            <w:vAlign w:val="center"/>
          </w:tcPr>
          <w:p>
            <w:pPr>
              <w:rPr>
                <w:sz w:val="28"/>
                <w:szCs w:val="32"/>
              </w:rPr>
            </w:pPr>
            <w:r>
              <w:rPr>
                <w:rFonts w:hint="eastAsia"/>
                <w:sz w:val="28"/>
                <w:szCs w:val="32"/>
              </w:rPr>
              <w:t>通过工信部可信云服务认证</w:t>
            </w:r>
          </w:p>
        </w:tc>
        <w:tc>
          <w:tcPr>
            <w:tcW w:w="904" w:type="dxa"/>
            <w:vAlign w:val="center"/>
          </w:tcPr>
          <w:p>
            <w:pPr>
              <w:rPr>
                <w:sz w:val="28"/>
                <w:szCs w:val="32"/>
              </w:rPr>
            </w:pPr>
          </w:p>
        </w:tc>
      </w:tr>
    </w:tbl>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3" w:name="_Toc6703"/>
      <w:bookmarkStart w:id="24" w:name="_Toc27769"/>
      <w:r>
        <w:rPr>
          <w:rFonts w:hint="eastAsia"/>
          <w:b/>
          <w:color w:val="000000"/>
          <w:sz w:val="28"/>
          <w:szCs w:val="28"/>
        </w:rPr>
        <w:t>招标书公告时间</w:t>
      </w:r>
      <w:bookmarkEnd w:id="23"/>
      <w:bookmarkEnd w:id="24"/>
    </w:p>
    <w:p>
      <w:pPr>
        <w:numPr>
          <w:ilvl w:val="0"/>
          <w:numId w:val="5"/>
        </w:numPr>
        <w:pBdr>
          <w:top w:val="none" w:color="000000" w:sz="0" w:space="0"/>
          <w:left w:val="none" w:color="000000" w:sz="0" w:space="0"/>
          <w:bottom w:val="none" w:color="000000" w:sz="0" w:space="0"/>
          <w:right w:val="none" w:color="000000" w:sz="0" w:space="0"/>
        </w:pBdr>
        <w:spacing w:line="360" w:lineRule="auto"/>
        <w:rPr>
          <w:bCs/>
          <w:color w:val="FF0000"/>
          <w:sz w:val="28"/>
          <w:szCs w:val="28"/>
        </w:rPr>
      </w:pPr>
      <w:r>
        <w:rPr>
          <w:rFonts w:hint="eastAsia"/>
          <w:bCs/>
          <w:color w:val="000000"/>
          <w:sz w:val="28"/>
          <w:szCs w:val="28"/>
        </w:rPr>
        <w:t>招标书发布时间</w:t>
      </w:r>
      <w:r>
        <w:rPr>
          <w:rFonts w:hint="eastAsia"/>
          <w:bCs/>
          <w:sz w:val="28"/>
          <w:szCs w:val="28"/>
          <w:highlight w:val="yellow"/>
        </w:rPr>
        <w:t>：</w:t>
      </w:r>
      <w:r>
        <w:rPr>
          <w:rFonts w:hint="eastAsia"/>
          <w:bCs/>
          <w:color w:val="FF0000"/>
          <w:sz w:val="28"/>
          <w:szCs w:val="28"/>
          <w:highlight w:val="yellow"/>
          <w:u w:val="single"/>
        </w:rPr>
        <w:t>2023</w:t>
      </w:r>
      <w:r>
        <w:rPr>
          <w:rFonts w:hint="eastAsia"/>
          <w:bCs/>
          <w:color w:val="FF0000"/>
          <w:sz w:val="28"/>
          <w:szCs w:val="28"/>
          <w:highlight w:val="yellow"/>
        </w:rPr>
        <w:t xml:space="preserve"> 年</w:t>
      </w:r>
      <w:r>
        <w:rPr>
          <w:rFonts w:hint="eastAsia"/>
          <w:bCs/>
          <w:color w:val="FF0000"/>
          <w:sz w:val="28"/>
          <w:szCs w:val="28"/>
          <w:highlight w:val="yellow"/>
          <w:u w:val="single"/>
        </w:rPr>
        <w:t>5</w:t>
      </w:r>
      <w:r>
        <w:rPr>
          <w:rFonts w:hint="eastAsia"/>
          <w:bCs/>
          <w:color w:val="FF0000"/>
          <w:sz w:val="28"/>
          <w:szCs w:val="28"/>
          <w:highlight w:val="yellow"/>
        </w:rPr>
        <w:t>月</w:t>
      </w:r>
      <w:r>
        <w:rPr>
          <w:rFonts w:hint="eastAsia"/>
          <w:bCs/>
          <w:color w:val="FF0000"/>
          <w:sz w:val="28"/>
          <w:szCs w:val="28"/>
          <w:highlight w:val="yellow"/>
          <w:u w:val="single"/>
        </w:rPr>
        <w:t>31</w:t>
      </w:r>
      <w:r>
        <w:rPr>
          <w:rFonts w:hint="eastAsia"/>
          <w:bCs/>
          <w:color w:val="FF0000"/>
          <w:sz w:val="28"/>
          <w:szCs w:val="28"/>
          <w:highlight w:val="yellow"/>
        </w:rPr>
        <w:t>日；</w:t>
      </w:r>
    </w:p>
    <w:p>
      <w:pPr>
        <w:numPr>
          <w:ilvl w:val="0"/>
          <w:numId w:val="5"/>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发标书领取方式：</w:t>
      </w:r>
      <w:r>
        <w:rPr>
          <w:rFonts w:hint="eastAsia"/>
          <w:bCs/>
          <w:sz w:val="28"/>
          <w:szCs w:val="28"/>
        </w:rPr>
        <w:t>电子邮件的形式发送受邀者；</w:t>
      </w:r>
    </w:p>
    <w:p>
      <w:pPr>
        <w:pStyle w:val="10"/>
      </w:pPr>
      <w:r>
        <w:rPr>
          <w:rFonts w:hint="eastAsia"/>
          <w:bCs/>
          <w:sz w:val="28"/>
          <w:szCs w:val="28"/>
        </w:rPr>
        <w:t>3、投标相应：投标人收到招标文件后，请于</w:t>
      </w:r>
      <w:r>
        <w:rPr>
          <w:rFonts w:hint="eastAsia"/>
          <w:bCs/>
          <w:color w:val="FF0000"/>
          <w:sz w:val="28"/>
          <w:szCs w:val="28"/>
          <w:highlight w:val="yellow"/>
          <w:u w:val="single"/>
        </w:rPr>
        <w:t>2023</w:t>
      </w:r>
      <w:r>
        <w:rPr>
          <w:rFonts w:hint="eastAsia"/>
          <w:bCs/>
          <w:color w:val="FF0000"/>
          <w:sz w:val="28"/>
          <w:szCs w:val="28"/>
          <w:highlight w:val="yellow"/>
        </w:rPr>
        <w:t xml:space="preserve"> 年</w:t>
      </w:r>
      <w:r>
        <w:rPr>
          <w:rFonts w:hint="eastAsia"/>
          <w:bCs/>
          <w:color w:val="FF0000"/>
          <w:sz w:val="28"/>
          <w:szCs w:val="28"/>
          <w:highlight w:val="yellow"/>
          <w:u w:val="single"/>
        </w:rPr>
        <w:t>6</w:t>
      </w:r>
      <w:r>
        <w:rPr>
          <w:rFonts w:hint="eastAsia"/>
          <w:bCs/>
          <w:color w:val="FF0000"/>
          <w:sz w:val="28"/>
          <w:szCs w:val="28"/>
          <w:highlight w:val="yellow"/>
        </w:rPr>
        <w:t>月</w:t>
      </w:r>
      <w:r>
        <w:rPr>
          <w:rFonts w:hint="eastAsia"/>
          <w:bCs/>
          <w:color w:val="FF0000"/>
          <w:sz w:val="28"/>
          <w:szCs w:val="28"/>
          <w:highlight w:val="yellow"/>
          <w:u w:val="single"/>
          <w:lang w:val="en-US" w:eastAsia="zh-CN"/>
        </w:rPr>
        <w:t>3</w:t>
      </w:r>
      <w:r>
        <w:rPr>
          <w:rFonts w:hint="eastAsia"/>
          <w:bCs/>
          <w:color w:val="FF0000"/>
          <w:sz w:val="28"/>
          <w:szCs w:val="28"/>
          <w:highlight w:val="yellow"/>
        </w:rPr>
        <w:t>日17：00前，</w:t>
      </w:r>
      <w:r>
        <w:rPr>
          <w:rFonts w:hint="eastAsia"/>
          <w:bCs/>
          <w:color w:val="FF0000"/>
          <w:sz w:val="28"/>
          <w:szCs w:val="28"/>
        </w:rPr>
        <w:t>以文件盖鲜章扫描件形式发至招标联系人邮箱：guohong</w:t>
      </w:r>
      <w:r>
        <w:rPr>
          <w:sz w:val="24"/>
          <w:szCs w:val="24"/>
        </w:rPr>
        <w:t>@cdlsym.com</w:t>
      </w:r>
      <w:r>
        <w:rPr>
          <w:rFonts w:hint="eastAsia"/>
          <w:bCs/>
          <w:color w:val="FF0000"/>
          <w:sz w:val="28"/>
          <w:szCs w:val="28"/>
        </w:rPr>
        <w:t>，确认是否参与本次投标，过期未回复，视为不参与本次招标。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5" w:name="_Toc28118"/>
      <w:bookmarkStart w:id="26" w:name="_Toc5771"/>
      <w:bookmarkStart w:id="27" w:name="_Toc22140"/>
      <w:r>
        <w:rPr>
          <w:rFonts w:hint="eastAsia"/>
          <w:b/>
          <w:color w:val="000000"/>
          <w:sz w:val="28"/>
          <w:szCs w:val="28"/>
        </w:rPr>
        <w:t>投标截止</w:t>
      </w:r>
      <w:bookmarkEnd w:id="25"/>
      <w:bookmarkEnd w:id="26"/>
      <w:bookmarkEnd w:id="27"/>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投标答疑：截止于</w:t>
      </w:r>
      <w:r>
        <w:rPr>
          <w:rFonts w:hint="eastAsia"/>
          <w:bCs/>
          <w:color w:val="FF0000"/>
          <w:sz w:val="28"/>
          <w:szCs w:val="28"/>
          <w:highlight w:val="yellow"/>
          <w:u w:val="single"/>
        </w:rPr>
        <w:t>2023</w:t>
      </w:r>
      <w:r>
        <w:rPr>
          <w:rFonts w:hint="eastAsia"/>
          <w:bCs/>
          <w:color w:val="FF0000"/>
          <w:sz w:val="28"/>
          <w:szCs w:val="28"/>
          <w:highlight w:val="yellow"/>
        </w:rPr>
        <w:t>年</w:t>
      </w:r>
      <w:r>
        <w:rPr>
          <w:rFonts w:hint="eastAsia"/>
          <w:bCs/>
          <w:color w:val="FF0000"/>
          <w:sz w:val="28"/>
          <w:szCs w:val="28"/>
          <w:highlight w:val="yellow"/>
          <w:u w:val="single"/>
        </w:rPr>
        <w:t>6</w:t>
      </w:r>
      <w:r>
        <w:rPr>
          <w:rFonts w:hint="eastAsia"/>
          <w:bCs/>
          <w:color w:val="FF0000"/>
          <w:sz w:val="28"/>
          <w:szCs w:val="28"/>
          <w:highlight w:val="yellow"/>
        </w:rPr>
        <w:t>月</w:t>
      </w:r>
      <w:r>
        <w:rPr>
          <w:rFonts w:hint="eastAsia"/>
          <w:bCs/>
          <w:color w:val="FF0000"/>
          <w:sz w:val="28"/>
          <w:szCs w:val="28"/>
          <w:highlight w:val="yellow"/>
          <w:u w:val="single"/>
          <w:lang w:val="en-US" w:eastAsia="zh-CN"/>
        </w:rPr>
        <w:t>5</w:t>
      </w:r>
      <w:r>
        <w:rPr>
          <w:rFonts w:hint="eastAsia"/>
          <w:bCs/>
          <w:color w:val="FF0000"/>
          <w:sz w:val="28"/>
          <w:szCs w:val="28"/>
          <w:highlight w:val="yellow"/>
        </w:rPr>
        <w:t>日17：00前</w:t>
      </w:r>
      <w:r>
        <w:rPr>
          <w:rFonts w:hint="eastAsia"/>
          <w:bCs/>
          <w:color w:val="000000"/>
          <w:sz w:val="28"/>
          <w:szCs w:val="28"/>
          <w:highlight w:val="yellow"/>
        </w:rPr>
        <w:t>，</w:t>
      </w:r>
      <w:r>
        <w:rPr>
          <w:rFonts w:hint="eastAsia"/>
          <w:bCs/>
          <w:color w:val="000000"/>
          <w:sz w:val="28"/>
          <w:szCs w:val="28"/>
        </w:rPr>
        <w:t>以电子文档的形式向招标人提出需要澄清的问题，发送至邮箱：</w:t>
      </w:r>
      <w:r>
        <w:rPr>
          <w:sz w:val="24"/>
          <w:szCs w:val="24"/>
        </w:rPr>
        <w:t>kangzhuojia@cdlsym.com</w:t>
      </w:r>
      <w:r>
        <w:rPr>
          <w:rFonts w:hint="eastAsia"/>
          <w:bCs/>
          <w:color w:val="000000"/>
          <w:sz w:val="28"/>
          <w:szCs w:val="28"/>
        </w:rPr>
        <w:t>。招标人将统一以电子邮件形式回复；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投标截止时间：</w:t>
      </w:r>
      <w:r>
        <w:rPr>
          <w:rFonts w:hint="eastAsia"/>
          <w:bCs/>
          <w:color w:val="FF0000"/>
          <w:sz w:val="28"/>
          <w:szCs w:val="28"/>
          <w:highlight w:val="yellow"/>
          <w:u w:val="single"/>
        </w:rPr>
        <w:t>2023</w:t>
      </w:r>
      <w:r>
        <w:rPr>
          <w:rFonts w:hint="eastAsia"/>
          <w:bCs/>
          <w:color w:val="FF0000"/>
          <w:sz w:val="28"/>
          <w:szCs w:val="28"/>
          <w:highlight w:val="yellow"/>
        </w:rPr>
        <w:t>年</w:t>
      </w:r>
      <w:r>
        <w:rPr>
          <w:rFonts w:hint="eastAsia"/>
          <w:bCs/>
          <w:color w:val="FF0000"/>
          <w:sz w:val="28"/>
          <w:szCs w:val="28"/>
          <w:highlight w:val="yellow"/>
          <w:u w:val="single"/>
        </w:rPr>
        <w:t>6</w:t>
      </w:r>
      <w:r>
        <w:rPr>
          <w:rFonts w:hint="eastAsia"/>
          <w:bCs/>
          <w:color w:val="FF0000"/>
          <w:sz w:val="28"/>
          <w:szCs w:val="28"/>
          <w:highlight w:val="yellow"/>
        </w:rPr>
        <w:t>月</w:t>
      </w:r>
      <w:r>
        <w:rPr>
          <w:rFonts w:hint="eastAsia"/>
          <w:bCs/>
          <w:color w:val="FF0000"/>
          <w:sz w:val="28"/>
          <w:szCs w:val="28"/>
          <w:highlight w:val="yellow"/>
          <w:u w:val="single"/>
          <w:lang w:val="en-US" w:eastAsia="zh-CN"/>
        </w:rPr>
        <w:t>6</w:t>
      </w:r>
      <w:r>
        <w:rPr>
          <w:rFonts w:hint="eastAsia"/>
          <w:bCs/>
          <w:color w:val="FF0000"/>
          <w:sz w:val="28"/>
          <w:szCs w:val="28"/>
          <w:highlight w:val="yellow"/>
        </w:rPr>
        <w:t>日17：00前；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投标方式：面投；</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投标地址：四川省成都市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u w:val="single"/>
        </w:rPr>
      </w:pPr>
      <w:r>
        <w:rPr>
          <w:rFonts w:hint="eastAsia"/>
          <w:bCs/>
          <w:color w:val="000000"/>
          <w:sz w:val="28"/>
          <w:szCs w:val="28"/>
        </w:rPr>
        <w:t>联系人：</w:t>
      </w:r>
      <w:r>
        <w:rPr>
          <w:rFonts w:hint="eastAsia"/>
          <w:bCs/>
          <w:color w:val="000000"/>
          <w:sz w:val="28"/>
          <w:szCs w:val="28"/>
          <w:u w:val="single"/>
        </w:rPr>
        <w:t>郭虹</w:t>
      </w:r>
      <w:r>
        <w:rPr>
          <w:rFonts w:hint="eastAsia"/>
          <w:bCs/>
          <w:color w:val="FF0000"/>
          <w:sz w:val="28"/>
          <w:szCs w:val="28"/>
        </w:rPr>
        <w:t xml:space="preserve"> </w:t>
      </w:r>
      <w:r>
        <w:rPr>
          <w:rFonts w:hint="eastAsia"/>
          <w:bCs/>
          <w:color w:val="000000"/>
          <w:sz w:val="28"/>
          <w:szCs w:val="28"/>
        </w:rPr>
        <w:t>联系方式：</w:t>
      </w:r>
      <w:r>
        <w:rPr>
          <w:sz w:val="24"/>
          <w:szCs w:val="24"/>
          <w:u w:val="single"/>
        </w:rPr>
        <w:t>17765559767</w:t>
      </w:r>
      <w:r>
        <w:rPr>
          <w:rFonts w:hint="eastAsia"/>
          <w:bCs/>
          <w:color w:val="FF0000"/>
          <w:sz w:val="28"/>
          <w:szCs w:val="28"/>
          <w:u w:val="single"/>
        </w:rPr>
        <w:t>。</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 xml:space="preserve">           </w:t>
      </w:r>
    </w:p>
    <w:p>
      <w:pPr>
        <w:pStyle w:val="10"/>
        <w:rPr>
          <w:bCs/>
          <w:color w:val="000000"/>
          <w:sz w:val="28"/>
          <w:szCs w:val="28"/>
        </w:rPr>
      </w:pPr>
    </w:p>
    <w:p>
      <w:pPr>
        <w:pStyle w:val="11"/>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8" w:name="_Toc12938"/>
      <w:bookmarkStart w:id="29" w:name="_Toc27149"/>
      <w:r>
        <w:rPr>
          <w:rFonts w:hint="eastAsia"/>
          <w:b/>
          <w:color w:val="000000"/>
          <w:sz w:val="28"/>
          <w:szCs w:val="28"/>
        </w:rPr>
        <w:t>开标</w:t>
      </w:r>
      <w:bookmarkEnd w:id="28"/>
      <w:bookmarkEnd w:id="29"/>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开标时间：</w:t>
      </w:r>
      <w:r>
        <w:rPr>
          <w:rFonts w:hint="eastAsia"/>
          <w:bCs/>
          <w:color w:val="FF0000"/>
          <w:sz w:val="28"/>
          <w:szCs w:val="28"/>
          <w:highlight w:val="yellow"/>
          <w:u w:val="single"/>
        </w:rPr>
        <w:t>2023</w:t>
      </w:r>
      <w:r>
        <w:rPr>
          <w:rFonts w:hint="eastAsia"/>
          <w:bCs/>
          <w:color w:val="FF0000"/>
          <w:sz w:val="28"/>
          <w:szCs w:val="28"/>
          <w:highlight w:val="yellow"/>
        </w:rPr>
        <w:t>年</w:t>
      </w:r>
      <w:r>
        <w:rPr>
          <w:rFonts w:hint="eastAsia"/>
          <w:bCs/>
          <w:color w:val="FF0000"/>
          <w:sz w:val="28"/>
          <w:szCs w:val="28"/>
          <w:highlight w:val="yellow"/>
          <w:u w:val="single"/>
        </w:rPr>
        <w:t>6</w:t>
      </w:r>
      <w:r>
        <w:rPr>
          <w:rFonts w:hint="eastAsia"/>
          <w:bCs/>
          <w:color w:val="FF0000"/>
          <w:sz w:val="28"/>
          <w:szCs w:val="28"/>
          <w:highlight w:val="yellow"/>
        </w:rPr>
        <w:t>月</w:t>
      </w:r>
      <w:r>
        <w:rPr>
          <w:rFonts w:hint="eastAsia"/>
          <w:bCs/>
          <w:color w:val="FF0000"/>
          <w:sz w:val="28"/>
          <w:szCs w:val="28"/>
          <w:highlight w:val="yellow"/>
          <w:u w:val="single"/>
          <w:lang w:val="en-US" w:eastAsia="zh-CN"/>
        </w:rPr>
        <w:t>8</w:t>
      </w:r>
      <w:bookmarkStart w:id="155" w:name="_GoBack"/>
      <w:bookmarkEnd w:id="155"/>
      <w:r>
        <w:rPr>
          <w:rFonts w:hint="eastAsia"/>
          <w:bCs/>
          <w:color w:val="FF0000"/>
          <w:sz w:val="28"/>
          <w:szCs w:val="28"/>
          <w:highlight w:val="yellow"/>
        </w:rPr>
        <w:t>日</w:t>
      </w:r>
      <w:r>
        <w:rPr>
          <w:rFonts w:hint="eastAsia"/>
          <w:bCs/>
          <w:color w:val="000000"/>
          <w:sz w:val="28"/>
          <w:szCs w:val="28"/>
        </w:rPr>
        <w:t>（零食有鸣保留调整开标时间权利）；</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开标顺序：随机开标</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讲标参与：投标人享有</w:t>
      </w:r>
      <w:r>
        <w:rPr>
          <w:rFonts w:hint="eastAsia"/>
          <w:b/>
          <w:color w:val="FF0000"/>
          <w:sz w:val="28"/>
          <w:szCs w:val="28"/>
          <w:u w:val="single"/>
        </w:rPr>
        <w:t>40分钟</w:t>
      </w:r>
      <w:r>
        <w:rPr>
          <w:rFonts w:hint="eastAsia"/>
          <w:bCs/>
          <w:color w:val="000000"/>
          <w:sz w:val="28"/>
          <w:szCs w:val="28"/>
        </w:rPr>
        <w:t>线下讲标/答疑，讲标过程不涉及商务谈判。</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pPr>
    </w:p>
    <w:p>
      <w:pPr>
        <w:pStyle w:val="10"/>
        <w:rPr>
          <w:bCs/>
          <w:color w:val="000000"/>
          <w:sz w:val="28"/>
          <w:szCs w:val="28"/>
        </w:rPr>
      </w:pPr>
    </w:p>
    <w:p>
      <w:pPr>
        <w:pStyle w:val="11"/>
        <w:rPr>
          <w:rFonts w:ascii="宋体"/>
          <w:bCs/>
          <w:sz w:val="28"/>
          <w:szCs w:val="28"/>
        </w:rPr>
      </w:pPr>
    </w:p>
    <w:p>
      <w:pPr>
        <w:rPr>
          <w:bCs/>
          <w:color w:val="000000"/>
          <w:sz w:val="28"/>
          <w:szCs w:val="28"/>
        </w:rPr>
      </w:pPr>
    </w:p>
    <w:p>
      <w:pPr>
        <w:pStyle w:val="10"/>
        <w:rPr>
          <w:bCs/>
          <w:color w:val="000000"/>
          <w:sz w:val="28"/>
          <w:szCs w:val="28"/>
        </w:rPr>
      </w:pPr>
    </w:p>
    <w:p>
      <w:pPr>
        <w:pStyle w:val="11"/>
        <w:rPr>
          <w:rFonts w:ascii="宋体"/>
          <w:bCs/>
          <w:sz w:val="28"/>
          <w:szCs w:val="28"/>
        </w:rPr>
      </w:pPr>
    </w:p>
    <w:p/>
    <w:p>
      <w:pPr>
        <w:pStyle w:val="10"/>
      </w:pPr>
    </w:p>
    <w:p>
      <w:pPr>
        <w:pBdr>
          <w:top w:val="none" w:color="000000" w:sz="0" w:space="0"/>
          <w:left w:val="none" w:color="000000" w:sz="0" w:space="0"/>
          <w:bottom w:val="none" w:color="000000" w:sz="0" w:space="0"/>
          <w:right w:val="none" w:color="000000" w:sz="0" w:space="0"/>
        </w:pBdr>
        <w:spacing w:line="360" w:lineRule="auto"/>
        <w:rPr>
          <w:b/>
          <w:color w:val="000000"/>
          <w:sz w:val="44"/>
          <w:szCs w:val="44"/>
        </w:rPr>
      </w:pPr>
      <w:bookmarkStart w:id="30" w:name="_Toc32391"/>
      <w:bookmarkStart w:id="31" w:name="_Toc23536"/>
      <w:bookmarkStart w:id="32" w:name="_Toc15921"/>
    </w:p>
    <w:p>
      <w:pPr>
        <w:pBdr>
          <w:top w:val="none" w:color="000000" w:sz="0" w:space="0"/>
          <w:left w:val="none" w:color="000000" w:sz="0" w:space="0"/>
          <w:bottom w:val="none" w:color="000000" w:sz="0" w:space="0"/>
          <w:right w:val="none" w:color="000000" w:sz="0" w:space="0"/>
        </w:pBdr>
        <w:spacing w:line="360" w:lineRule="auto"/>
        <w:jc w:val="center"/>
        <w:outlineLvl w:val="0"/>
        <w:rPr>
          <w:b/>
          <w:sz w:val="44"/>
          <w:szCs w:val="44"/>
        </w:rPr>
      </w:pPr>
      <w:r>
        <w:rPr>
          <w:rFonts w:hint="eastAsia"/>
          <w:b/>
          <w:color w:val="000000"/>
          <w:sz w:val="44"/>
          <w:szCs w:val="44"/>
        </w:rPr>
        <w:t>第二章：</w:t>
      </w:r>
      <w:bookmarkEnd w:id="30"/>
      <w:bookmarkEnd w:id="31"/>
      <w:bookmarkEnd w:id="32"/>
      <w:r>
        <w:rPr>
          <w:rFonts w:hint="eastAsia"/>
          <w:b/>
          <w:color w:val="000000"/>
          <w:sz w:val="44"/>
          <w:szCs w:val="44"/>
        </w:rPr>
        <w:t>招标须知</w:t>
      </w:r>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 </w:t>
      </w:r>
    </w:p>
    <w:p>
      <w:pPr>
        <w:pBdr>
          <w:top w:val="none" w:color="000000" w:sz="0" w:space="0"/>
          <w:left w:val="none" w:color="000000" w:sz="0" w:space="0"/>
          <w:bottom w:val="none" w:color="000000" w:sz="0" w:space="0"/>
          <w:right w:val="none" w:color="000000" w:sz="0" w:space="0"/>
        </w:pBdr>
        <w:tabs>
          <w:tab w:val="left" w:pos="3662"/>
        </w:tabs>
        <w:spacing w:line="360" w:lineRule="auto"/>
        <w:outlineLvl w:val="1"/>
        <w:rPr>
          <w:b/>
          <w:sz w:val="28"/>
          <w:szCs w:val="28"/>
        </w:rPr>
      </w:pPr>
      <w:bookmarkStart w:id="33" w:name="_Toc1974"/>
      <w:bookmarkStart w:id="34" w:name="_Toc25444"/>
      <w:bookmarkStart w:id="35" w:name="_Toc29597"/>
      <w:r>
        <w:rPr>
          <w:rFonts w:hint="eastAsia"/>
          <w:b/>
          <w:color w:val="000000"/>
          <w:sz w:val="28"/>
          <w:szCs w:val="28"/>
        </w:rPr>
        <w:t>一、项目概况</w:t>
      </w:r>
      <w:bookmarkEnd w:id="33"/>
      <w:bookmarkEnd w:id="34"/>
      <w:bookmarkEnd w:id="35"/>
      <w:r>
        <w:rPr>
          <w:rFonts w:hint="eastAsia"/>
          <w:b/>
          <w:color w:val="000000"/>
          <w:sz w:val="28"/>
          <w:szCs w:val="28"/>
        </w:rPr>
        <w:tab/>
      </w:r>
    </w:p>
    <w:p>
      <w:pPr>
        <w:pStyle w:val="17"/>
        <w:pBdr>
          <w:bottom w:val="none" w:color="auto" w:sz="0" w:space="0"/>
        </w:pBdr>
        <w:tabs>
          <w:tab w:val="left" w:pos="420"/>
        </w:tabs>
        <w:snapToGrid/>
        <w:rPr>
          <w:spacing w:val="20"/>
          <w:sz w:val="32"/>
          <w:szCs w:val="32"/>
        </w:rPr>
      </w:pPr>
      <w:r>
        <w:rPr>
          <w:rFonts w:hint="eastAsia"/>
          <w:bCs/>
          <w:color w:val="FF0000"/>
          <w:sz w:val="28"/>
          <w:szCs w:val="28"/>
        </w:rPr>
        <w:t>本项目私有云平台，招标</w:t>
      </w:r>
      <w:r>
        <w:rPr>
          <w:rFonts w:hint="eastAsia"/>
          <w:bCs/>
          <w:color w:val="FF0000"/>
          <w:sz w:val="28"/>
          <w:szCs w:val="28"/>
          <w:lang w:eastAsia="zh-Hans"/>
        </w:rPr>
        <w:t>材料主要使用在</w:t>
      </w:r>
      <w:r>
        <w:rPr>
          <w:rFonts w:hint="eastAsia"/>
          <w:bCs/>
          <w:color w:val="FF0000"/>
          <w:sz w:val="28"/>
          <w:szCs w:val="28"/>
        </w:rPr>
        <w:t>零食有鸣集团及各分公司，</w:t>
      </w:r>
      <w:r>
        <w:rPr>
          <w:bCs/>
          <w:color w:val="FF0000"/>
          <w:sz w:val="28"/>
          <w:szCs w:val="28"/>
          <w:lang w:eastAsia="zh-Hans"/>
        </w:rPr>
        <w:t>，</w:t>
      </w:r>
      <w:r>
        <w:rPr>
          <w:rFonts w:hint="eastAsia"/>
          <w:bCs/>
          <w:color w:val="FF0000"/>
          <w:sz w:val="28"/>
          <w:szCs w:val="28"/>
          <w:lang w:eastAsia="zh-Hans"/>
        </w:rPr>
        <w:t>投标方需要根据零食有鸣的</w:t>
      </w:r>
      <w:r>
        <w:rPr>
          <w:rFonts w:hint="eastAsia"/>
          <w:bCs/>
          <w:color w:val="FF0000"/>
          <w:sz w:val="28"/>
          <w:szCs w:val="28"/>
        </w:rPr>
        <w:t xml:space="preserve"> 私有云平台需求，提供服务、质量、</w:t>
      </w:r>
      <w:r>
        <w:rPr>
          <w:rFonts w:hint="eastAsia"/>
          <w:bCs/>
          <w:color w:val="FF0000"/>
          <w:sz w:val="28"/>
          <w:szCs w:val="28"/>
          <w:lang w:eastAsia="zh-Hans"/>
        </w:rPr>
        <w:t>快捷</w:t>
      </w:r>
      <w:r>
        <w:rPr>
          <w:bCs/>
          <w:color w:val="FF0000"/>
          <w:sz w:val="28"/>
          <w:szCs w:val="28"/>
          <w:lang w:eastAsia="zh-Hans"/>
        </w:rPr>
        <w:t>、</w:t>
      </w:r>
      <w:r>
        <w:rPr>
          <w:rFonts w:hint="eastAsia"/>
          <w:bCs/>
          <w:color w:val="FF0000"/>
          <w:sz w:val="28"/>
          <w:szCs w:val="28"/>
          <w:lang w:eastAsia="zh-Hans"/>
        </w:rPr>
        <w:t>便利</w:t>
      </w:r>
      <w:r>
        <w:rPr>
          <w:rFonts w:hint="eastAsia"/>
          <w:bCs/>
          <w:color w:val="FF0000"/>
          <w:sz w:val="28"/>
          <w:szCs w:val="28"/>
        </w:rPr>
        <w:t>、高效</w:t>
      </w:r>
      <w:r>
        <w:rPr>
          <w:bCs/>
          <w:color w:val="FF0000"/>
          <w:sz w:val="28"/>
          <w:szCs w:val="28"/>
          <w:lang w:eastAsia="zh-Hans"/>
        </w:rPr>
        <w:t>。</w:t>
      </w:r>
      <w:r>
        <w:rPr>
          <w:rFonts w:hint="eastAsia"/>
          <w:spacing w:val="20"/>
          <w:sz w:val="28"/>
          <w:szCs w:val="28"/>
        </w:rPr>
        <w:t>本招标项目为零食有鸣</w:t>
      </w:r>
      <w:r>
        <w:rPr>
          <w:rFonts w:hint="eastAsia"/>
          <w:color w:val="FF0000"/>
          <w:spacing w:val="20"/>
          <w:sz w:val="28"/>
          <w:szCs w:val="28"/>
          <w:u w:val="single"/>
        </w:rPr>
        <w:t>集团及各分公司所有人员</w:t>
      </w:r>
      <w:r>
        <w:rPr>
          <w:rFonts w:hint="eastAsia"/>
          <w:spacing w:val="20"/>
          <w:sz w:val="28"/>
          <w:szCs w:val="28"/>
        </w:rPr>
        <w:t>使用，服务范围</w:t>
      </w:r>
      <w:r>
        <w:rPr>
          <w:rFonts w:hint="eastAsia"/>
          <w:color w:val="FF0000"/>
          <w:spacing w:val="20"/>
          <w:sz w:val="28"/>
          <w:szCs w:val="28"/>
          <w:u w:val="single"/>
        </w:rPr>
        <w:t>全国区域</w:t>
      </w:r>
      <w:r>
        <w:rPr>
          <w:rFonts w:hint="eastAsia"/>
          <w:spacing w:val="20"/>
          <w:sz w:val="28"/>
          <w:szCs w:val="28"/>
        </w:rPr>
        <w:t>。</w:t>
      </w:r>
    </w:p>
    <w:p>
      <w:pPr>
        <w:pBdr>
          <w:top w:val="none" w:color="000000" w:sz="0" w:space="0"/>
          <w:left w:val="none" w:color="000000" w:sz="0" w:space="0"/>
          <w:bottom w:val="none" w:color="000000" w:sz="0" w:space="0"/>
          <w:right w:val="none" w:color="000000" w:sz="0" w:space="0"/>
        </w:pBdr>
        <w:spacing w:line="360" w:lineRule="auto"/>
        <w:ind w:firstLine="560" w:firstLineChars="200"/>
        <w:rPr>
          <w:bCs/>
          <w:sz w:val="28"/>
          <w:szCs w:val="28"/>
        </w:rPr>
      </w:pPr>
    </w:p>
    <w:p>
      <w:pPr>
        <w:pBdr>
          <w:top w:val="none" w:color="000000" w:sz="0" w:space="0"/>
          <w:left w:val="none" w:color="000000" w:sz="0" w:space="0"/>
          <w:bottom w:val="none" w:color="000000" w:sz="0" w:space="0"/>
          <w:right w:val="none" w:color="000000" w:sz="0" w:space="0"/>
        </w:pBdr>
        <w:spacing w:line="360" w:lineRule="auto"/>
        <w:outlineLvl w:val="1"/>
        <w:rPr>
          <w:b/>
          <w:sz w:val="28"/>
          <w:szCs w:val="28"/>
        </w:rPr>
      </w:pPr>
      <w:bookmarkStart w:id="36" w:name="_Toc15039"/>
      <w:bookmarkStart w:id="37" w:name="_Toc8212"/>
      <w:bookmarkStart w:id="38" w:name="_Toc2440"/>
      <w:r>
        <w:rPr>
          <w:rFonts w:hint="eastAsia"/>
          <w:b/>
          <w:color w:val="000000"/>
          <w:sz w:val="28"/>
          <w:szCs w:val="28"/>
        </w:rPr>
        <w:t>二、</w:t>
      </w:r>
      <w:r>
        <w:rPr>
          <w:rFonts w:hint="eastAsia"/>
          <w:b/>
          <w:sz w:val="28"/>
          <w:szCs w:val="28"/>
        </w:rPr>
        <w:t>投标单位须知前附表</w:t>
      </w:r>
      <w:bookmarkEnd w:id="36"/>
      <w:bookmarkEnd w:id="37"/>
      <w:bookmarkEnd w:id="38"/>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50" w:type="dxa"/>
            <w:vAlign w:val="center"/>
          </w:tcPr>
          <w:p>
            <w:pPr>
              <w:jc w:val="center"/>
              <w:rPr>
                <w:sz w:val="28"/>
                <w:szCs w:val="32"/>
              </w:rPr>
            </w:pPr>
            <w:r>
              <w:rPr>
                <w:rFonts w:hint="eastAsia"/>
                <w:sz w:val="28"/>
                <w:szCs w:val="32"/>
              </w:rPr>
              <w:t>序号</w:t>
            </w:r>
          </w:p>
        </w:tc>
        <w:tc>
          <w:tcPr>
            <w:tcW w:w="2190" w:type="dxa"/>
            <w:vAlign w:val="center"/>
          </w:tcPr>
          <w:p>
            <w:pPr>
              <w:jc w:val="center"/>
              <w:rPr>
                <w:sz w:val="28"/>
                <w:szCs w:val="32"/>
              </w:rPr>
            </w:pPr>
            <w:r>
              <w:rPr>
                <w:rFonts w:hint="eastAsia"/>
                <w:sz w:val="28"/>
                <w:szCs w:val="32"/>
              </w:rPr>
              <w:t>名称</w:t>
            </w:r>
          </w:p>
        </w:tc>
        <w:tc>
          <w:tcPr>
            <w:tcW w:w="6847" w:type="dxa"/>
            <w:vAlign w:val="center"/>
          </w:tcPr>
          <w:p>
            <w:pPr>
              <w:rPr>
                <w:sz w:val="28"/>
                <w:szCs w:val="32"/>
              </w:rPr>
            </w:pPr>
            <w:r>
              <w:rPr>
                <w:rFonts w:hint="eastAsia"/>
                <w:sz w:val="28"/>
                <w:szCs w:val="3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50" w:type="dxa"/>
            <w:vAlign w:val="center"/>
          </w:tcPr>
          <w:p>
            <w:pPr>
              <w:jc w:val="center"/>
              <w:rPr>
                <w:sz w:val="28"/>
                <w:szCs w:val="32"/>
              </w:rPr>
            </w:pPr>
            <w:r>
              <w:rPr>
                <w:rFonts w:hint="eastAsia"/>
                <w:sz w:val="28"/>
                <w:szCs w:val="32"/>
              </w:rPr>
              <w:t>1</w:t>
            </w:r>
          </w:p>
        </w:tc>
        <w:tc>
          <w:tcPr>
            <w:tcW w:w="2190" w:type="dxa"/>
            <w:vAlign w:val="center"/>
          </w:tcPr>
          <w:p>
            <w:pPr>
              <w:jc w:val="center"/>
              <w:rPr>
                <w:sz w:val="28"/>
                <w:szCs w:val="32"/>
              </w:rPr>
            </w:pPr>
            <w:r>
              <w:rPr>
                <w:rFonts w:hint="eastAsia"/>
                <w:sz w:val="28"/>
                <w:szCs w:val="32"/>
              </w:rPr>
              <w:t>项目名称</w:t>
            </w:r>
          </w:p>
        </w:tc>
        <w:tc>
          <w:tcPr>
            <w:tcW w:w="6847" w:type="dxa"/>
            <w:vAlign w:val="center"/>
          </w:tcPr>
          <w:p>
            <w:pPr>
              <w:rPr>
                <w:sz w:val="36"/>
                <w:szCs w:val="40"/>
              </w:rPr>
            </w:pPr>
            <w:r>
              <w:rPr>
                <w:rFonts w:hint="eastAsia"/>
                <w:bCs/>
                <w:color w:val="FF0000"/>
                <w:sz w:val="28"/>
                <w:szCs w:val="24"/>
                <w:u w:val="single"/>
              </w:rPr>
              <w:t>全国区域私有云平台</w:t>
            </w:r>
            <w:r>
              <w:rPr>
                <w:rFonts w:hint="eastAsia"/>
                <w:spacing w:val="20"/>
                <w:sz w:val="28"/>
                <w:szCs w:val="28"/>
              </w:rPr>
              <w:t>项目招标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2</w:t>
            </w:r>
          </w:p>
        </w:tc>
        <w:tc>
          <w:tcPr>
            <w:tcW w:w="2190" w:type="dxa"/>
            <w:vAlign w:val="center"/>
          </w:tcPr>
          <w:p>
            <w:pPr>
              <w:jc w:val="center"/>
              <w:rPr>
                <w:sz w:val="28"/>
                <w:szCs w:val="32"/>
              </w:rPr>
            </w:pPr>
            <w:r>
              <w:rPr>
                <w:rFonts w:hint="eastAsia"/>
                <w:sz w:val="28"/>
                <w:szCs w:val="32"/>
              </w:rPr>
              <w:t>招标范围</w:t>
            </w:r>
          </w:p>
        </w:tc>
        <w:tc>
          <w:tcPr>
            <w:tcW w:w="6847" w:type="dxa"/>
            <w:vAlign w:val="center"/>
          </w:tcPr>
          <w:p>
            <w:pPr>
              <w:pStyle w:val="17"/>
              <w:pBdr>
                <w:bottom w:val="none" w:color="auto" w:sz="0" w:space="0"/>
              </w:pBdr>
              <w:tabs>
                <w:tab w:val="left" w:pos="420"/>
              </w:tabs>
              <w:snapToGrid/>
              <w:rPr>
                <w:sz w:val="28"/>
                <w:szCs w:val="32"/>
              </w:rPr>
            </w:pPr>
            <w:r>
              <w:rPr>
                <w:rFonts w:hint="eastAsia"/>
                <w:spacing w:val="20"/>
                <w:sz w:val="28"/>
                <w:szCs w:val="28"/>
              </w:rPr>
              <w:t>本招标项目为零食有鸣</w:t>
            </w:r>
            <w:r>
              <w:rPr>
                <w:rFonts w:hint="eastAsia"/>
                <w:color w:val="FF0000"/>
                <w:spacing w:val="20"/>
                <w:sz w:val="28"/>
                <w:szCs w:val="28"/>
                <w:u w:val="single"/>
              </w:rPr>
              <w:t>全员</w:t>
            </w:r>
            <w:r>
              <w:rPr>
                <w:rFonts w:hint="eastAsia"/>
                <w:spacing w:val="20"/>
                <w:sz w:val="28"/>
                <w:szCs w:val="28"/>
              </w:rPr>
              <w:t>使用，服务范围</w:t>
            </w:r>
            <w:r>
              <w:rPr>
                <w:rFonts w:hint="eastAsia"/>
                <w:color w:val="FF0000"/>
                <w:spacing w:val="20"/>
                <w:sz w:val="28"/>
                <w:szCs w:val="28"/>
                <w:u w:val="single"/>
              </w:rPr>
              <w:t xml:space="preserve"> 全国区域</w:t>
            </w:r>
            <w:r>
              <w:rPr>
                <w:rFonts w:hint="eastAsia"/>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3</w:t>
            </w:r>
          </w:p>
        </w:tc>
        <w:tc>
          <w:tcPr>
            <w:tcW w:w="2190" w:type="dxa"/>
            <w:vAlign w:val="center"/>
          </w:tcPr>
          <w:p>
            <w:pPr>
              <w:jc w:val="center"/>
              <w:rPr>
                <w:sz w:val="28"/>
                <w:szCs w:val="32"/>
              </w:rPr>
            </w:pPr>
            <w:r>
              <w:rPr>
                <w:rFonts w:hint="eastAsia"/>
                <w:sz w:val="28"/>
                <w:szCs w:val="32"/>
              </w:rPr>
              <w:t>清单、图纸</w:t>
            </w:r>
          </w:p>
          <w:p>
            <w:pPr>
              <w:jc w:val="center"/>
              <w:rPr>
                <w:sz w:val="28"/>
                <w:szCs w:val="32"/>
              </w:rPr>
            </w:pPr>
            <w:r>
              <w:rPr>
                <w:rFonts w:hint="eastAsia"/>
                <w:sz w:val="28"/>
                <w:szCs w:val="32"/>
              </w:rPr>
              <w:t>及资料</w:t>
            </w:r>
          </w:p>
        </w:tc>
        <w:tc>
          <w:tcPr>
            <w:tcW w:w="6847" w:type="dxa"/>
            <w:vAlign w:val="center"/>
          </w:tcPr>
          <w:p>
            <w:pPr>
              <w:pStyle w:val="17"/>
              <w:pBdr>
                <w:bottom w:val="none" w:color="auto" w:sz="0" w:space="0"/>
              </w:pBdr>
              <w:tabs>
                <w:tab w:val="left" w:pos="420"/>
              </w:tabs>
              <w:snapToGrid/>
              <w:rPr>
                <w:spacing w:val="20"/>
                <w:sz w:val="28"/>
                <w:szCs w:val="28"/>
              </w:rPr>
            </w:pPr>
            <w:r>
              <w:rPr>
                <w:rFonts w:hint="eastAsia"/>
                <w:sz w:val="28"/>
                <w:szCs w:val="28"/>
              </w:rPr>
              <w:t>招标人向投标人提供与招标内容相关的需求及资料（电子文档），</w:t>
            </w:r>
            <w:r>
              <w:rPr>
                <w:rFonts w:hint="eastAsia"/>
                <w:color w:val="FF0000"/>
                <w:spacing w:val="20"/>
                <w:sz w:val="28"/>
                <w:szCs w:val="28"/>
              </w:rPr>
              <w:t>详见附件一：</w:t>
            </w:r>
            <w:r>
              <w:rPr>
                <w:rFonts w:hint="eastAsia"/>
                <w:color w:val="FF0000"/>
                <w:spacing w:val="20"/>
                <w:sz w:val="28"/>
                <w:szCs w:val="28"/>
                <w:u w:val="single"/>
              </w:rPr>
              <w:t>《私有云平台软件需求》。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50" w:type="dxa"/>
            <w:vAlign w:val="center"/>
          </w:tcPr>
          <w:p>
            <w:pPr>
              <w:jc w:val="center"/>
              <w:rPr>
                <w:sz w:val="28"/>
                <w:szCs w:val="32"/>
              </w:rPr>
            </w:pPr>
            <w:r>
              <w:rPr>
                <w:rFonts w:hint="eastAsia"/>
                <w:sz w:val="28"/>
                <w:szCs w:val="32"/>
              </w:rPr>
              <w:t>4</w:t>
            </w:r>
          </w:p>
        </w:tc>
        <w:tc>
          <w:tcPr>
            <w:tcW w:w="2190" w:type="dxa"/>
            <w:vAlign w:val="center"/>
          </w:tcPr>
          <w:p>
            <w:pPr>
              <w:jc w:val="center"/>
              <w:rPr>
                <w:sz w:val="28"/>
                <w:szCs w:val="32"/>
              </w:rPr>
            </w:pPr>
            <w:r>
              <w:rPr>
                <w:rFonts w:hint="eastAsia"/>
                <w:sz w:val="28"/>
                <w:szCs w:val="32"/>
              </w:rPr>
              <w:t>项目概况</w:t>
            </w:r>
          </w:p>
        </w:tc>
        <w:tc>
          <w:tcPr>
            <w:tcW w:w="6847" w:type="dxa"/>
            <w:vAlign w:val="center"/>
          </w:tcPr>
          <w:p>
            <w:pPr>
              <w:rPr>
                <w:sz w:val="28"/>
                <w:szCs w:val="32"/>
              </w:rPr>
            </w:pPr>
            <w:r>
              <w:rPr>
                <w:rFonts w:hint="eastAsia"/>
                <w:spacing w:val="20"/>
                <w:sz w:val="28"/>
                <w:szCs w:val="28"/>
              </w:rPr>
              <w:t>本项目为</w:t>
            </w:r>
            <w:r>
              <w:rPr>
                <w:rFonts w:hint="eastAsia"/>
                <w:bCs/>
                <w:color w:val="FF0000"/>
                <w:sz w:val="28"/>
                <w:szCs w:val="24"/>
                <w:u w:val="single"/>
              </w:rPr>
              <w:t>全国区域</w:t>
            </w:r>
            <w:r>
              <w:rPr>
                <w:rFonts w:hint="eastAsia"/>
                <w:spacing w:val="20"/>
                <w:sz w:val="28"/>
                <w:szCs w:val="28"/>
              </w:rPr>
              <w:t>招标，预计使用人数</w:t>
            </w:r>
            <w:r>
              <w:rPr>
                <w:rFonts w:hint="eastAsia"/>
                <w:bCs/>
                <w:color w:val="FF0000"/>
                <w:sz w:val="28"/>
                <w:szCs w:val="24"/>
                <w:u w:val="single"/>
              </w:rPr>
              <w:t>/</w:t>
            </w:r>
            <w:r>
              <w:rPr>
                <w:rFonts w:hint="eastAsia"/>
                <w:bCs/>
                <w:sz w:val="28"/>
                <w:szCs w:val="24"/>
              </w:rPr>
              <w:t>，本次为年度使用招标，</w:t>
            </w:r>
            <w:r>
              <w:rPr>
                <w:rFonts w:hint="eastAsia"/>
                <w:bCs/>
                <w:color w:val="FF0000"/>
                <w:sz w:val="28"/>
                <w:szCs w:val="24"/>
              </w:rPr>
              <w:t>签订年度框架服务合同。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5</w:t>
            </w:r>
          </w:p>
        </w:tc>
        <w:tc>
          <w:tcPr>
            <w:tcW w:w="2190" w:type="dxa"/>
            <w:vAlign w:val="center"/>
          </w:tcPr>
          <w:p>
            <w:pPr>
              <w:jc w:val="center"/>
              <w:rPr>
                <w:sz w:val="32"/>
                <w:szCs w:val="36"/>
              </w:rPr>
            </w:pPr>
            <w:r>
              <w:rPr>
                <w:rFonts w:hint="eastAsia"/>
                <w:sz w:val="28"/>
                <w:szCs w:val="28"/>
              </w:rPr>
              <w:t>工期</w:t>
            </w:r>
          </w:p>
        </w:tc>
        <w:tc>
          <w:tcPr>
            <w:tcW w:w="6847" w:type="dxa"/>
            <w:vAlign w:val="center"/>
          </w:tcPr>
          <w:p>
            <w:pPr>
              <w:rPr>
                <w:color w:val="FF0000"/>
                <w:spacing w:val="20"/>
                <w:sz w:val="32"/>
                <w:szCs w:val="32"/>
                <w:u w:val="single"/>
              </w:rPr>
            </w:pPr>
            <w:r>
              <w:rPr>
                <w:rFonts w:hint="eastAsia"/>
                <w:bCs/>
                <w:sz w:val="28"/>
                <w:szCs w:val="24"/>
              </w:rPr>
              <w:t>合同签订后1</w:t>
            </w:r>
            <w:r>
              <w:rPr>
                <w:bCs/>
                <w:sz w:val="28"/>
                <w:szCs w:val="24"/>
              </w:rPr>
              <w:t>0</w:t>
            </w:r>
            <w:r>
              <w:rPr>
                <w:rFonts w:hint="eastAsia"/>
                <w:bCs/>
                <w:sz w:val="28"/>
                <w:szCs w:val="24"/>
              </w:rPr>
              <w:t>个工作日内完成资源交付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6</w:t>
            </w:r>
          </w:p>
        </w:tc>
        <w:tc>
          <w:tcPr>
            <w:tcW w:w="2190" w:type="dxa"/>
            <w:vAlign w:val="center"/>
          </w:tcPr>
          <w:p>
            <w:pPr>
              <w:jc w:val="center"/>
              <w:rPr>
                <w:sz w:val="32"/>
                <w:szCs w:val="32"/>
              </w:rPr>
            </w:pPr>
            <w:r>
              <w:rPr>
                <w:rFonts w:hint="eastAsia"/>
                <w:sz w:val="28"/>
                <w:szCs w:val="28"/>
              </w:rPr>
              <w:t>质保期</w:t>
            </w:r>
          </w:p>
        </w:tc>
        <w:tc>
          <w:tcPr>
            <w:tcW w:w="6847" w:type="dxa"/>
            <w:vAlign w:val="center"/>
          </w:tcPr>
          <w:p>
            <w:pPr>
              <w:jc w:val="left"/>
              <w:rPr>
                <w:bCs/>
                <w:sz w:val="32"/>
                <w:szCs w:val="28"/>
              </w:rPr>
            </w:pPr>
            <w:r>
              <w:rPr>
                <w:rFonts w:hint="eastAsia"/>
                <w:sz w:val="28"/>
                <w:szCs w:val="28"/>
              </w:rPr>
              <w:t>质保</w:t>
            </w:r>
            <w:r>
              <w:rPr>
                <w:rFonts w:hint="eastAsia"/>
                <w:color w:val="FF0000"/>
                <w:sz w:val="28"/>
                <w:szCs w:val="28"/>
                <w:u w:val="single"/>
              </w:rPr>
              <w:t>1</w:t>
            </w:r>
            <w:r>
              <w:rPr>
                <w:rFonts w:hint="eastAsia"/>
                <w:sz w:val="28"/>
                <w:szCs w:val="28"/>
              </w:rPr>
              <w:t>年，质保期内投标人提供更换、维修/维护，不增加费用。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7</w:t>
            </w:r>
          </w:p>
        </w:tc>
        <w:tc>
          <w:tcPr>
            <w:tcW w:w="2190" w:type="dxa"/>
            <w:vAlign w:val="center"/>
          </w:tcPr>
          <w:p>
            <w:pPr>
              <w:jc w:val="center"/>
              <w:rPr>
                <w:sz w:val="32"/>
                <w:szCs w:val="32"/>
              </w:rPr>
            </w:pPr>
            <w:r>
              <w:rPr>
                <w:rFonts w:hint="eastAsia"/>
                <w:spacing w:val="20"/>
                <w:sz w:val="28"/>
                <w:szCs w:val="28"/>
              </w:rPr>
              <w:t>踏勘现场</w:t>
            </w:r>
          </w:p>
        </w:tc>
        <w:tc>
          <w:tcPr>
            <w:tcW w:w="6847" w:type="dxa"/>
            <w:vAlign w:val="center"/>
          </w:tcPr>
          <w:p>
            <w:pPr>
              <w:rPr>
                <w:sz w:val="32"/>
                <w:szCs w:val="32"/>
              </w:rPr>
            </w:pPr>
            <w:r>
              <w:rPr>
                <w:rFonts w:hint="eastAsia"/>
                <w:color w:val="FF0000"/>
                <w:sz w:val="28"/>
                <w:szCs w:val="28"/>
              </w:rPr>
              <w:t>零食有鸣总部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8</w:t>
            </w:r>
          </w:p>
        </w:tc>
        <w:tc>
          <w:tcPr>
            <w:tcW w:w="2190" w:type="dxa"/>
            <w:vAlign w:val="center"/>
          </w:tcPr>
          <w:p>
            <w:pPr>
              <w:jc w:val="center"/>
              <w:rPr>
                <w:sz w:val="28"/>
                <w:szCs w:val="32"/>
              </w:rPr>
            </w:pPr>
            <w:r>
              <w:rPr>
                <w:rFonts w:hint="eastAsia"/>
                <w:sz w:val="28"/>
                <w:szCs w:val="32"/>
              </w:rPr>
              <w:t>招标品牌</w:t>
            </w:r>
          </w:p>
        </w:tc>
        <w:tc>
          <w:tcPr>
            <w:tcW w:w="6847" w:type="dxa"/>
            <w:vAlign w:val="center"/>
          </w:tcPr>
          <w:p>
            <w:pPr>
              <w:rPr>
                <w:sz w:val="28"/>
                <w:szCs w:val="32"/>
              </w:rPr>
            </w:pPr>
            <w:r>
              <w:rPr>
                <w:rFonts w:hint="eastAsia"/>
                <w:color w:val="FF0000"/>
                <w:sz w:val="28"/>
                <w:szCs w:val="32"/>
              </w:rPr>
              <w:t>深信服、</w:t>
            </w:r>
            <w:r>
              <w:rPr>
                <w:color w:val="FF0000"/>
                <w:sz w:val="28"/>
                <w:szCs w:val="32"/>
              </w:rPr>
              <w:t>ucloud(优刻得)</w:t>
            </w:r>
            <w:r>
              <w:rPr>
                <w:rFonts w:hint="eastAsia"/>
                <w:color w:val="FF0000"/>
                <w:sz w:val="28"/>
                <w:szCs w:val="32"/>
              </w:rPr>
              <w:t>、青云、世纪互联、金山云、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8"/>
                <w:szCs w:val="32"/>
              </w:rPr>
            </w:pPr>
            <w:r>
              <w:rPr>
                <w:rFonts w:hint="eastAsia"/>
                <w:sz w:val="28"/>
                <w:szCs w:val="32"/>
              </w:rPr>
              <w:t>9</w:t>
            </w:r>
          </w:p>
        </w:tc>
        <w:tc>
          <w:tcPr>
            <w:tcW w:w="2190" w:type="dxa"/>
            <w:vAlign w:val="center"/>
          </w:tcPr>
          <w:p>
            <w:pPr>
              <w:jc w:val="center"/>
              <w:rPr>
                <w:sz w:val="28"/>
                <w:szCs w:val="32"/>
              </w:rPr>
            </w:pPr>
            <w:r>
              <w:rPr>
                <w:rFonts w:hint="eastAsia"/>
                <w:sz w:val="28"/>
                <w:szCs w:val="32"/>
              </w:rPr>
              <w:t>承包方式</w:t>
            </w:r>
          </w:p>
        </w:tc>
        <w:tc>
          <w:tcPr>
            <w:tcW w:w="6847" w:type="dxa"/>
            <w:vAlign w:val="center"/>
          </w:tcPr>
          <w:p>
            <w:pPr>
              <w:rPr>
                <w:sz w:val="28"/>
                <w:szCs w:val="32"/>
              </w:rPr>
            </w:pPr>
            <w:r>
              <w:rPr>
                <w:rFonts w:hint="eastAsia"/>
                <w:color w:val="FF0000"/>
                <w:spacing w:val="20"/>
                <w:sz w:val="28"/>
                <w:szCs w:val="28"/>
              </w:rPr>
              <w:t>综合总价包干（各需求模块单独报价）。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10</w:t>
            </w:r>
          </w:p>
        </w:tc>
        <w:tc>
          <w:tcPr>
            <w:tcW w:w="2190" w:type="dxa"/>
            <w:vAlign w:val="center"/>
          </w:tcPr>
          <w:p>
            <w:pPr>
              <w:jc w:val="center"/>
              <w:rPr>
                <w:sz w:val="28"/>
                <w:szCs w:val="32"/>
              </w:rPr>
            </w:pPr>
            <w:r>
              <w:rPr>
                <w:rFonts w:hint="eastAsia"/>
                <w:sz w:val="28"/>
                <w:szCs w:val="32"/>
              </w:rPr>
              <w:t>质量标准</w:t>
            </w:r>
          </w:p>
        </w:tc>
        <w:tc>
          <w:tcPr>
            <w:tcW w:w="6847" w:type="dxa"/>
            <w:vAlign w:val="center"/>
          </w:tcPr>
          <w:p>
            <w:pPr>
              <w:rPr>
                <w:sz w:val="28"/>
                <w:szCs w:val="32"/>
              </w:rPr>
            </w:pPr>
            <w:r>
              <w:rPr>
                <w:rFonts w:hint="eastAsia"/>
                <w:color w:val="FF0000"/>
                <w:sz w:val="28"/>
                <w:szCs w:val="32"/>
              </w:rPr>
              <w:t>达到国家现行标准规范要求，行业相关规定，招标单位要求的技术标准。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11</w:t>
            </w:r>
          </w:p>
        </w:tc>
        <w:tc>
          <w:tcPr>
            <w:tcW w:w="2190" w:type="dxa"/>
            <w:vAlign w:val="center"/>
          </w:tcPr>
          <w:p>
            <w:pPr>
              <w:jc w:val="center"/>
              <w:rPr>
                <w:sz w:val="32"/>
                <w:szCs w:val="36"/>
              </w:rPr>
            </w:pPr>
            <w:r>
              <w:rPr>
                <w:rFonts w:hint="eastAsia"/>
                <w:sz w:val="28"/>
                <w:szCs w:val="28"/>
              </w:rPr>
              <w:t>投标报价方式</w:t>
            </w:r>
          </w:p>
        </w:tc>
        <w:tc>
          <w:tcPr>
            <w:tcW w:w="6847" w:type="dxa"/>
            <w:vAlign w:val="center"/>
          </w:tcPr>
          <w:p>
            <w:pPr>
              <w:jc w:val="left"/>
              <w:rPr>
                <w:sz w:val="32"/>
                <w:szCs w:val="36"/>
              </w:rPr>
            </w:pPr>
            <w:r>
              <w:rPr>
                <w:rFonts w:hint="eastAsia"/>
                <w:color w:val="FF0000"/>
                <w:sz w:val="28"/>
                <w:szCs w:val="28"/>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r>
              <w:rPr>
                <w:rFonts w:hint="eastAsia"/>
                <w:sz w:val="28"/>
                <w:szCs w:val="28"/>
              </w:rPr>
              <w:t>详见后附</w:t>
            </w:r>
            <w:r>
              <w:rPr>
                <w:rFonts w:hint="eastAsia"/>
                <w:color w:val="FF0000"/>
                <w:sz w:val="28"/>
                <w:szCs w:val="28"/>
              </w:rPr>
              <w:t>招标清单</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1050" w:type="dxa"/>
            <w:vAlign w:val="center"/>
          </w:tcPr>
          <w:p>
            <w:pPr>
              <w:jc w:val="center"/>
              <w:rPr>
                <w:sz w:val="28"/>
                <w:szCs w:val="32"/>
              </w:rPr>
            </w:pPr>
            <w:r>
              <w:rPr>
                <w:rFonts w:hint="eastAsia"/>
                <w:sz w:val="28"/>
                <w:szCs w:val="32"/>
              </w:rPr>
              <w:t>12</w:t>
            </w:r>
          </w:p>
        </w:tc>
        <w:tc>
          <w:tcPr>
            <w:tcW w:w="2190" w:type="dxa"/>
            <w:vAlign w:val="center"/>
          </w:tcPr>
          <w:p>
            <w:pPr>
              <w:jc w:val="center"/>
              <w:rPr>
                <w:sz w:val="28"/>
                <w:szCs w:val="28"/>
              </w:rPr>
            </w:pPr>
            <w:r>
              <w:rPr>
                <w:rFonts w:hint="eastAsia"/>
                <w:sz w:val="28"/>
                <w:szCs w:val="28"/>
              </w:rPr>
              <w:t>投标有效期</w:t>
            </w:r>
          </w:p>
        </w:tc>
        <w:tc>
          <w:tcPr>
            <w:tcW w:w="6847" w:type="dxa"/>
            <w:vAlign w:val="center"/>
          </w:tcPr>
          <w:p>
            <w:pPr>
              <w:rPr>
                <w:bCs/>
                <w:sz w:val="28"/>
                <w:szCs w:val="28"/>
              </w:rPr>
            </w:pPr>
            <w:r>
              <w:rPr>
                <w:rFonts w:hint="eastAsia"/>
                <w:sz w:val="28"/>
                <w:szCs w:val="28"/>
              </w:rPr>
              <w:t>投标书递交后90天内有效。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13</w:t>
            </w:r>
          </w:p>
        </w:tc>
        <w:tc>
          <w:tcPr>
            <w:tcW w:w="2190" w:type="dxa"/>
            <w:vAlign w:val="center"/>
          </w:tcPr>
          <w:p>
            <w:pPr>
              <w:jc w:val="center"/>
              <w:rPr>
                <w:sz w:val="28"/>
                <w:szCs w:val="28"/>
              </w:rPr>
            </w:pPr>
            <w:r>
              <w:rPr>
                <w:rFonts w:hint="eastAsia"/>
                <w:sz w:val="28"/>
                <w:szCs w:val="32"/>
              </w:rPr>
              <w:t>报价唯一</w:t>
            </w:r>
          </w:p>
        </w:tc>
        <w:tc>
          <w:tcPr>
            <w:tcW w:w="6847" w:type="dxa"/>
            <w:vAlign w:val="center"/>
          </w:tcPr>
          <w:p>
            <w:pPr>
              <w:rPr>
                <w:sz w:val="28"/>
                <w:szCs w:val="32"/>
              </w:rPr>
            </w:pPr>
            <w:r>
              <w:rPr>
                <w:rFonts w:hint="eastAsia"/>
                <w:sz w:val="28"/>
                <w:szCs w:val="32"/>
              </w:rPr>
              <w:t>只能有一个有效报价。即：</w:t>
            </w:r>
          </w:p>
          <w:p>
            <w:pPr>
              <w:rPr>
                <w:sz w:val="28"/>
                <w:szCs w:val="32"/>
              </w:rPr>
            </w:pPr>
            <w:r>
              <w:rPr>
                <w:rFonts w:hint="eastAsia"/>
                <w:sz w:val="28"/>
                <w:szCs w:val="32"/>
              </w:rPr>
              <w:t>(1)单价和总价都只允许有一个报价，任何有选择和保留的报价将不予接受。</w:t>
            </w:r>
          </w:p>
          <w:p>
            <w:pPr>
              <w:rPr>
                <w:bCs/>
                <w:sz w:val="28"/>
                <w:szCs w:val="28"/>
              </w:rPr>
            </w:pPr>
            <w:r>
              <w:rPr>
                <w:rFonts w:hint="eastAsia"/>
                <w:sz w:val="28"/>
                <w:szCs w:val="32"/>
              </w:rPr>
              <w:t>(2)开标记录表中记录的投标报价、投标文件中投标函的投标总报价（大写）和报价汇总表中的总价金额，三者应完全一致（按要求小数点后四舍五入的除外）。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14</w:t>
            </w:r>
          </w:p>
        </w:tc>
        <w:tc>
          <w:tcPr>
            <w:tcW w:w="2190" w:type="dxa"/>
            <w:vAlign w:val="center"/>
          </w:tcPr>
          <w:p>
            <w:pPr>
              <w:jc w:val="center"/>
              <w:rPr>
                <w:sz w:val="28"/>
                <w:szCs w:val="28"/>
              </w:rPr>
            </w:pPr>
            <w:r>
              <w:rPr>
                <w:rFonts w:hint="eastAsia"/>
                <w:sz w:val="28"/>
                <w:szCs w:val="32"/>
              </w:rPr>
              <w:t>合同履行过程中物价波动引起的价格调整</w:t>
            </w:r>
          </w:p>
        </w:tc>
        <w:tc>
          <w:tcPr>
            <w:tcW w:w="6847" w:type="dxa"/>
            <w:vAlign w:val="center"/>
          </w:tcPr>
          <w:p>
            <w:pPr>
              <w:rPr>
                <w:bCs/>
                <w:sz w:val="28"/>
                <w:szCs w:val="28"/>
              </w:rPr>
            </w:pPr>
            <w:r>
              <w:rPr>
                <w:rFonts w:hint="eastAsia"/>
                <w:sz w:val="28"/>
                <w:szCs w:val="32"/>
              </w:rPr>
              <w:t>不调整。</w:t>
            </w:r>
            <w:r>
              <w:rPr>
                <w:rFonts w:hint="eastAsia"/>
                <w:color w:val="FF0000"/>
                <w:sz w:val="28"/>
                <w:szCs w:val="32"/>
              </w:rPr>
              <w:t>（如有涨跌，明确价格基础网站，涨跌标准）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z w:val="28"/>
                <w:szCs w:val="28"/>
              </w:rPr>
              <w:t>结算方式</w:t>
            </w:r>
          </w:p>
        </w:tc>
        <w:tc>
          <w:tcPr>
            <w:tcW w:w="6847" w:type="dxa"/>
            <w:vAlign w:val="center"/>
          </w:tcPr>
          <w:p>
            <w:pPr>
              <w:rPr>
                <w:sz w:val="32"/>
                <w:szCs w:val="36"/>
              </w:rPr>
            </w:pPr>
            <w:r>
              <w:rPr>
                <w:rFonts w:hint="eastAsia"/>
                <w:bCs/>
                <w:sz w:val="28"/>
                <w:szCs w:val="28"/>
              </w:rPr>
              <w:t>中标人结算价=中标综合模块单价，其他扣款、罚款等在当次付款前先行交付至招标单位指定账户，招标单位才予以当次付款。结算工程量按照实际验收合格计算。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16</w:t>
            </w:r>
          </w:p>
        </w:tc>
        <w:tc>
          <w:tcPr>
            <w:tcW w:w="2190" w:type="dxa"/>
            <w:vAlign w:val="center"/>
          </w:tcPr>
          <w:p>
            <w:pPr>
              <w:jc w:val="center"/>
              <w:rPr>
                <w:sz w:val="32"/>
                <w:szCs w:val="36"/>
              </w:rPr>
            </w:pPr>
            <w:r>
              <w:rPr>
                <w:rFonts w:hint="eastAsia"/>
                <w:spacing w:val="20"/>
                <w:sz w:val="28"/>
                <w:szCs w:val="28"/>
              </w:rPr>
              <w:t>计算规则</w:t>
            </w:r>
          </w:p>
        </w:tc>
        <w:tc>
          <w:tcPr>
            <w:tcW w:w="6847" w:type="dxa"/>
            <w:vAlign w:val="center"/>
          </w:tcPr>
          <w:p>
            <w:pPr>
              <w:rPr>
                <w:sz w:val="32"/>
                <w:szCs w:val="36"/>
              </w:rPr>
            </w:pPr>
            <w:r>
              <w:rPr>
                <w:sz w:val="28"/>
                <w:szCs w:val="28"/>
              </w:rPr>
              <w:t>1</w:t>
            </w:r>
            <w:r>
              <w:rPr>
                <w:rFonts w:hint="eastAsia"/>
                <w:sz w:val="28"/>
                <w:szCs w:val="28"/>
              </w:rPr>
              <w:t>．包年包月，按量订阅。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17</w:t>
            </w:r>
          </w:p>
        </w:tc>
        <w:tc>
          <w:tcPr>
            <w:tcW w:w="2190" w:type="dxa"/>
            <w:vAlign w:val="center"/>
          </w:tcPr>
          <w:p>
            <w:pPr>
              <w:jc w:val="center"/>
              <w:rPr>
                <w:sz w:val="28"/>
                <w:szCs w:val="32"/>
              </w:rPr>
            </w:pPr>
            <w:r>
              <w:rPr>
                <w:rFonts w:hint="eastAsia"/>
                <w:color w:val="FF0000"/>
                <w:sz w:val="28"/>
                <w:szCs w:val="32"/>
              </w:rPr>
              <w:t>付款方式</w:t>
            </w:r>
          </w:p>
        </w:tc>
        <w:tc>
          <w:tcPr>
            <w:tcW w:w="6847" w:type="dxa"/>
            <w:vAlign w:val="center"/>
          </w:tcPr>
          <w:p>
            <w:pPr>
              <w:rPr>
                <w:sz w:val="28"/>
                <w:szCs w:val="32"/>
              </w:rPr>
            </w:pPr>
            <w:r>
              <w:rPr>
                <w:rFonts w:hint="eastAsia"/>
                <w:sz w:val="28"/>
                <w:szCs w:val="32"/>
              </w:rPr>
              <w:t>可根据自身需求填写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18</w:t>
            </w:r>
          </w:p>
        </w:tc>
        <w:tc>
          <w:tcPr>
            <w:tcW w:w="2190" w:type="dxa"/>
            <w:vAlign w:val="center"/>
          </w:tcPr>
          <w:p>
            <w:pPr>
              <w:jc w:val="center"/>
              <w:rPr>
                <w:sz w:val="28"/>
                <w:szCs w:val="32"/>
              </w:rPr>
            </w:pPr>
            <w:r>
              <w:rPr>
                <w:rFonts w:hint="eastAsia"/>
                <w:sz w:val="28"/>
                <w:szCs w:val="32"/>
              </w:rPr>
              <w:t>资金来源</w:t>
            </w:r>
          </w:p>
        </w:tc>
        <w:tc>
          <w:tcPr>
            <w:tcW w:w="6847" w:type="dxa"/>
            <w:vAlign w:val="center"/>
          </w:tcPr>
          <w:p>
            <w:pPr>
              <w:rPr>
                <w:color w:val="FF0000"/>
                <w:sz w:val="28"/>
                <w:szCs w:val="32"/>
              </w:rPr>
            </w:pPr>
            <w:r>
              <w:rPr>
                <w:rFonts w:hint="eastAsia"/>
                <w:sz w:val="28"/>
                <w:szCs w:val="32"/>
              </w:rPr>
              <w:t>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pacing w:val="20"/>
                <w:sz w:val="28"/>
                <w:szCs w:val="28"/>
              </w:rPr>
              <w:t>履约质保金</w:t>
            </w:r>
          </w:p>
        </w:tc>
        <w:tc>
          <w:tcPr>
            <w:tcW w:w="6847" w:type="dxa"/>
            <w:vAlign w:val="center"/>
          </w:tcPr>
          <w:p>
            <w:r>
              <w:rPr>
                <w:rFonts w:hint="eastAsia"/>
                <w:sz w:val="28"/>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20</w:t>
            </w:r>
          </w:p>
        </w:tc>
        <w:tc>
          <w:tcPr>
            <w:tcW w:w="2190" w:type="dxa"/>
            <w:vAlign w:val="center"/>
          </w:tcPr>
          <w:p>
            <w:pPr>
              <w:jc w:val="center"/>
              <w:rPr>
                <w:sz w:val="28"/>
                <w:szCs w:val="32"/>
              </w:rPr>
            </w:pPr>
            <w:r>
              <w:rPr>
                <w:rFonts w:hint="eastAsia"/>
                <w:sz w:val="28"/>
                <w:szCs w:val="32"/>
              </w:rPr>
              <w:t>分包</w:t>
            </w:r>
          </w:p>
        </w:tc>
        <w:tc>
          <w:tcPr>
            <w:tcW w:w="6847" w:type="dxa"/>
            <w:vAlign w:val="center"/>
          </w:tcPr>
          <w:p>
            <w:pPr>
              <w:rPr>
                <w:sz w:val="28"/>
                <w:szCs w:val="32"/>
              </w:rPr>
            </w:pPr>
            <w:r>
              <w:rPr>
                <w:rFonts w:hint="eastAsia"/>
                <w:sz w:val="28"/>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21</w:t>
            </w:r>
          </w:p>
        </w:tc>
        <w:tc>
          <w:tcPr>
            <w:tcW w:w="2190" w:type="dxa"/>
            <w:vAlign w:val="center"/>
          </w:tcPr>
          <w:p>
            <w:pPr>
              <w:spacing w:line="360" w:lineRule="auto"/>
              <w:jc w:val="center"/>
              <w:rPr>
                <w:sz w:val="40"/>
                <w:szCs w:val="44"/>
              </w:rPr>
            </w:pPr>
            <w:r>
              <w:rPr>
                <w:rFonts w:hint="eastAsia"/>
                <w:sz w:val="28"/>
                <w:szCs w:val="28"/>
              </w:rPr>
              <w:t>偏离</w:t>
            </w:r>
          </w:p>
        </w:tc>
        <w:tc>
          <w:tcPr>
            <w:tcW w:w="6847" w:type="dxa"/>
            <w:vAlign w:val="center"/>
          </w:tcPr>
          <w:p>
            <w:pPr>
              <w:pStyle w:val="9"/>
              <w:topLinePunct/>
              <w:spacing w:line="360" w:lineRule="auto"/>
              <w:rPr>
                <w:rFonts w:ascii="宋体" w:eastAsia="宋体"/>
                <w:sz w:val="40"/>
                <w:szCs w:val="44"/>
              </w:rPr>
            </w:pPr>
            <w:r>
              <w:rPr>
                <w:rFonts w:hint="eastAsia" w:ascii="宋体" w:eastAsia="宋体"/>
                <w:sz w:val="28"/>
                <w:szCs w:val="28"/>
              </w:rPr>
              <w:t>不允许，可以另行上报建议方案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50" w:type="dxa"/>
            <w:vAlign w:val="center"/>
          </w:tcPr>
          <w:p>
            <w:pPr>
              <w:jc w:val="center"/>
              <w:rPr>
                <w:sz w:val="28"/>
                <w:szCs w:val="32"/>
              </w:rPr>
            </w:pPr>
            <w:r>
              <w:rPr>
                <w:rFonts w:hint="eastAsia"/>
                <w:sz w:val="28"/>
                <w:szCs w:val="32"/>
              </w:rPr>
              <w:t>22</w:t>
            </w:r>
          </w:p>
        </w:tc>
        <w:tc>
          <w:tcPr>
            <w:tcW w:w="2190" w:type="dxa"/>
            <w:vAlign w:val="center"/>
          </w:tcPr>
          <w:p>
            <w:pPr>
              <w:jc w:val="center"/>
              <w:rPr>
                <w:sz w:val="28"/>
                <w:szCs w:val="32"/>
              </w:rPr>
            </w:pPr>
            <w:r>
              <w:rPr>
                <w:rFonts w:hint="eastAsia"/>
                <w:sz w:val="28"/>
                <w:szCs w:val="32"/>
              </w:rPr>
              <w:t>签字或盖章要求</w:t>
            </w:r>
          </w:p>
        </w:tc>
        <w:tc>
          <w:tcPr>
            <w:tcW w:w="6847" w:type="dxa"/>
            <w:vAlign w:val="center"/>
          </w:tcPr>
          <w:p>
            <w:pPr>
              <w:rPr>
                <w:sz w:val="28"/>
                <w:szCs w:val="32"/>
              </w:rPr>
            </w:pPr>
            <w:r>
              <w:rPr>
                <w:rFonts w:hint="eastAsia"/>
                <w:sz w:val="28"/>
                <w:szCs w:val="32"/>
              </w:rPr>
              <w:t>(1)所有要求签字的地方都应用不褪色的墨水或签字笔由本人亲笔手写签字（包括姓和名），不得用盖章（如签名章、签字章等）代替，也不得由他人代签。</w:t>
            </w:r>
          </w:p>
          <w:p>
            <w:pPr>
              <w:rPr>
                <w:sz w:val="28"/>
                <w:szCs w:val="32"/>
              </w:rPr>
            </w:pPr>
            <w:r>
              <w:rPr>
                <w:rFonts w:hint="eastAsia"/>
                <w:sz w:val="28"/>
                <w:szCs w:val="32"/>
              </w:rPr>
              <w:t>(2)所有要求盖章的地方都应加盖投标单位单位（法定名称）章（鲜章），不得使用专用印章（如经济合同章、投标专用章等）或下属单位印章代替。</w:t>
            </w:r>
          </w:p>
          <w:p>
            <w:pPr>
              <w:rPr>
                <w:sz w:val="28"/>
                <w:szCs w:val="32"/>
              </w:rPr>
            </w:pPr>
            <w:r>
              <w:rPr>
                <w:rFonts w:hint="eastAsia"/>
                <w:sz w:val="28"/>
                <w:szCs w:val="32"/>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23</w:t>
            </w:r>
          </w:p>
        </w:tc>
        <w:tc>
          <w:tcPr>
            <w:tcW w:w="2190" w:type="dxa"/>
            <w:vAlign w:val="center"/>
          </w:tcPr>
          <w:p>
            <w:pPr>
              <w:jc w:val="center"/>
              <w:rPr>
                <w:sz w:val="28"/>
                <w:szCs w:val="32"/>
              </w:rPr>
            </w:pPr>
            <w:r>
              <w:rPr>
                <w:rFonts w:hint="eastAsia"/>
                <w:sz w:val="28"/>
                <w:szCs w:val="32"/>
              </w:rPr>
              <w:t>投标文件份数</w:t>
            </w:r>
          </w:p>
        </w:tc>
        <w:tc>
          <w:tcPr>
            <w:tcW w:w="6847" w:type="dxa"/>
            <w:vAlign w:val="center"/>
          </w:tcPr>
          <w:p>
            <w:pPr>
              <w:rPr>
                <w:sz w:val="28"/>
                <w:szCs w:val="32"/>
              </w:rPr>
            </w:pPr>
            <w:r>
              <w:rPr>
                <w:rFonts w:hint="eastAsia"/>
                <w:sz w:val="28"/>
                <w:szCs w:val="32"/>
              </w:rPr>
              <w:t>正本2份，副本2份；投标文件副本由其正本复制（复印）而成（包括证明文件）。当副本和正本不一致时，以正本为准；但副本和正本内容不一致造成的评标差错由投标单位自行承担。</w:t>
            </w:r>
          </w:p>
          <w:p>
            <w:pPr>
              <w:rPr>
                <w:sz w:val="28"/>
                <w:szCs w:val="32"/>
              </w:rPr>
            </w:pPr>
            <w:r>
              <w:rPr>
                <w:rFonts w:hint="eastAsia"/>
                <w:sz w:val="28"/>
                <w:szCs w:val="32"/>
              </w:rPr>
              <w:t>另外用U盘提供电子版的投标书一份，U盘单独密封，并在其上面注明投标单位名称。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24</w:t>
            </w:r>
          </w:p>
        </w:tc>
        <w:tc>
          <w:tcPr>
            <w:tcW w:w="2190" w:type="dxa"/>
            <w:vAlign w:val="center"/>
          </w:tcPr>
          <w:p>
            <w:pPr>
              <w:jc w:val="center"/>
              <w:rPr>
                <w:sz w:val="28"/>
                <w:szCs w:val="32"/>
              </w:rPr>
            </w:pPr>
            <w:r>
              <w:rPr>
                <w:rFonts w:hint="eastAsia"/>
                <w:sz w:val="28"/>
                <w:szCs w:val="32"/>
              </w:rPr>
              <w:t>装订要求</w:t>
            </w:r>
          </w:p>
        </w:tc>
        <w:tc>
          <w:tcPr>
            <w:tcW w:w="6847" w:type="dxa"/>
            <w:vAlign w:val="center"/>
          </w:tcPr>
          <w:p>
            <w:pPr>
              <w:rPr>
                <w:sz w:val="28"/>
                <w:szCs w:val="32"/>
              </w:rPr>
            </w:pPr>
            <w:r>
              <w:rPr>
                <w:rFonts w:hint="eastAsia"/>
                <w:sz w:val="28"/>
                <w:szCs w:val="32"/>
              </w:rPr>
              <w:t>投标文件的正本和副本一律用A4复印纸（图、表及证件可以除外）编制和复制。</w:t>
            </w:r>
          </w:p>
          <w:p>
            <w:pPr>
              <w:rPr>
                <w:sz w:val="28"/>
                <w:szCs w:val="32"/>
              </w:rPr>
            </w:pPr>
            <w:r>
              <w:rPr>
                <w:rFonts w:hint="eastAsia"/>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rPr>
                <w:sz w:val="28"/>
                <w:szCs w:val="32"/>
              </w:rPr>
            </w:pPr>
            <w:r>
              <w:rPr>
                <w:rFonts w:hint="eastAsia"/>
                <w:sz w:val="28"/>
                <w:szCs w:val="32"/>
              </w:rPr>
              <w:t>投标文件中的证明、证件及附件等的复制件应集中紧附在相应正文内容后面，并尽量与前面正文部分的顺序相对应。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25</w:t>
            </w:r>
          </w:p>
        </w:tc>
        <w:tc>
          <w:tcPr>
            <w:tcW w:w="2190" w:type="dxa"/>
            <w:vAlign w:val="center"/>
          </w:tcPr>
          <w:p>
            <w:pPr>
              <w:jc w:val="center"/>
              <w:rPr>
                <w:sz w:val="28"/>
                <w:szCs w:val="32"/>
              </w:rPr>
            </w:pPr>
            <w:r>
              <w:rPr>
                <w:rFonts w:hint="eastAsia"/>
                <w:sz w:val="28"/>
                <w:szCs w:val="32"/>
              </w:rPr>
              <w:t>投标文件的包装和密封</w:t>
            </w:r>
          </w:p>
        </w:tc>
        <w:tc>
          <w:tcPr>
            <w:tcW w:w="6847" w:type="dxa"/>
            <w:vAlign w:val="center"/>
          </w:tcPr>
          <w:p>
            <w:pPr>
              <w:rPr>
                <w:sz w:val="28"/>
                <w:szCs w:val="32"/>
              </w:rPr>
            </w:pPr>
            <w:r>
              <w:rPr>
                <w:rFonts w:hint="eastAsia"/>
                <w:sz w:val="28"/>
                <w:szCs w:val="32"/>
              </w:rPr>
              <w:t>投标文件正本和副本可分开包装。技术商务标与经济标分开密封。</w:t>
            </w:r>
          </w:p>
          <w:p>
            <w:pPr>
              <w:rPr>
                <w:sz w:val="28"/>
                <w:szCs w:val="32"/>
              </w:rPr>
            </w:pPr>
            <w:r>
              <w:rPr>
                <w:rFonts w:hint="eastAsia"/>
                <w:sz w:val="28"/>
                <w:szCs w:val="32"/>
              </w:rPr>
              <w:t>每一个包装都应在其密封套的封口处加贴封条，并在封套的封口处加盖企业印章、企业法定代表人印章(鲜章)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 w:type="dxa"/>
            <w:vAlign w:val="center"/>
          </w:tcPr>
          <w:p>
            <w:pPr>
              <w:jc w:val="center"/>
              <w:rPr>
                <w:sz w:val="28"/>
                <w:szCs w:val="32"/>
              </w:rPr>
            </w:pPr>
            <w:r>
              <w:rPr>
                <w:rFonts w:hint="eastAsia"/>
                <w:sz w:val="28"/>
                <w:szCs w:val="32"/>
              </w:rPr>
              <w:t>26</w:t>
            </w:r>
          </w:p>
        </w:tc>
        <w:tc>
          <w:tcPr>
            <w:tcW w:w="2190" w:type="dxa"/>
            <w:vAlign w:val="center"/>
          </w:tcPr>
          <w:p>
            <w:pPr>
              <w:jc w:val="center"/>
              <w:rPr>
                <w:sz w:val="28"/>
                <w:szCs w:val="32"/>
              </w:rPr>
            </w:pPr>
            <w:r>
              <w:rPr>
                <w:rFonts w:hint="eastAsia"/>
                <w:sz w:val="28"/>
                <w:szCs w:val="32"/>
              </w:rPr>
              <w:t>封套上写明</w:t>
            </w:r>
          </w:p>
        </w:tc>
        <w:tc>
          <w:tcPr>
            <w:tcW w:w="6847" w:type="dxa"/>
            <w:vAlign w:val="center"/>
          </w:tcPr>
          <w:p>
            <w:pPr>
              <w:rPr>
                <w:sz w:val="28"/>
                <w:szCs w:val="32"/>
              </w:rPr>
            </w:pPr>
            <w:r>
              <w:rPr>
                <w:rFonts w:hint="eastAsia"/>
                <w:sz w:val="28"/>
                <w:szCs w:val="32"/>
              </w:rPr>
              <w:t>招标单位名称：成都蓉志楚远供应链管理有限公司</w:t>
            </w:r>
          </w:p>
          <w:p>
            <w:pPr>
              <w:rPr>
                <w:sz w:val="28"/>
                <w:szCs w:val="32"/>
              </w:rPr>
            </w:pPr>
            <w:r>
              <w:rPr>
                <w:rFonts w:hint="eastAsia"/>
                <w:sz w:val="28"/>
                <w:szCs w:val="32"/>
              </w:rPr>
              <w:t>项目名称：</w:t>
            </w:r>
            <w:r>
              <w:rPr>
                <w:rFonts w:hint="eastAsia"/>
                <w:color w:val="FF0000"/>
                <w:sz w:val="28"/>
                <w:szCs w:val="32"/>
                <w:u w:val="single"/>
              </w:rPr>
              <w:t>全国区域私有云平台</w:t>
            </w:r>
            <w:r>
              <w:rPr>
                <w:rFonts w:hint="eastAsia"/>
                <w:sz w:val="28"/>
                <w:szCs w:val="32"/>
              </w:rPr>
              <w:t>招标采购项目招标</w:t>
            </w:r>
          </w:p>
          <w:p>
            <w:pPr>
              <w:rPr>
                <w:sz w:val="28"/>
                <w:szCs w:val="32"/>
              </w:rPr>
            </w:pPr>
            <w:r>
              <w:rPr>
                <w:rFonts w:hint="eastAsia"/>
                <w:sz w:val="28"/>
                <w:szCs w:val="32"/>
              </w:rPr>
              <w:t>投标单位名称：</w:t>
            </w:r>
          </w:p>
          <w:p>
            <w:pPr>
              <w:rPr>
                <w:sz w:val="28"/>
                <w:szCs w:val="32"/>
              </w:rPr>
            </w:pPr>
            <w:r>
              <w:rPr>
                <w:rFonts w:hint="eastAsia"/>
                <w:sz w:val="28"/>
                <w:szCs w:val="32"/>
              </w:rPr>
              <w:t>投标文件在开标前不得开启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50" w:type="dxa"/>
            <w:vAlign w:val="center"/>
          </w:tcPr>
          <w:p>
            <w:pPr>
              <w:jc w:val="center"/>
              <w:rPr>
                <w:sz w:val="28"/>
                <w:szCs w:val="32"/>
              </w:rPr>
            </w:pPr>
            <w:r>
              <w:rPr>
                <w:rFonts w:hint="eastAsia"/>
                <w:sz w:val="28"/>
                <w:szCs w:val="32"/>
              </w:rPr>
              <w:t>27</w:t>
            </w:r>
          </w:p>
        </w:tc>
        <w:tc>
          <w:tcPr>
            <w:tcW w:w="2190" w:type="dxa"/>
            <w:vAlign w:val="center"/>
          </w:tcPr>
          <w:p>
            <w:pPr>
              <w:jc w:val="center"/>
              <w:rPr>
                <w:sz w:val="28"/>
                <w:szCs w:val="32"/>
              </w:rPr>
            </w:pPr>
            <w:r>
              <w:rPr>
                <w:rFonts w:hint="eastAsia"/>
                <w:sz w:val="28"/>
                <w:szCs w:val="32"/>
              </w:rPr>
              <w:t>是否退还</w:t>
            </w:r>
          </w:p>
          <w:p>
            <w:pPr>
              <w:jc w:val="center"/>
              <w:rPr>
                <w:sz w:val="28"/>
                <w:szCs w:val="32"/>
              </w:rPr>
            </w:pPr>
            <w:r>
              <w:rPr>
                <w:rFonts w:hint="eastAsia"/>
                <w:sz w:val="28"/>
                <w:szCs w:val="32"/>
              </w:rPr>
              <w:t>投标文件</w:t>
            </w:r>
          </w:p>
        </w:tc>
        <w:tc>
          <w:tcPr>
            <w:tcW w:w="6847" w:type="dxa"/>
            <w:vAlign w:val="center"/>
          </w:tcPr>
          <w:p>
            <w:pPr>
              <w:rPr>
                <w:sz w:val="28"/>
                <w:szCs w:val="32"/>
              </w:rPr>
            </w:pPr>
            <w:r>
              <w:rPr>
                <w:rFonts w:hint="eastAsia"/>
                <w:sz w:val="28"/>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0" w:type="dxa"/>
            <w:vAlign w:val="center"/>
          </w:tcPr>
          <w:p>
            <w:pPr>
              <w:jc w:val="center"/>
              <w:rPr>
                <w:sz w:val="28"/>
                <w:szCs w:val="32"/>
              </w:rPr>
            </w:pPr>
            <w:r>
              <w:rPr>
                <w:rFonts w:hint="eastAsia"/>
                <w:sz w:val="28"/>
                <w:szCs w:val="32"/>
              </w:rPr>
              <w:t>28</w:t>
            </w:r>
          </w:p>
        </w:tc>
        <w:tc>
          <w:tcPr>
            <w:tcW w:w="2190" w:type="dxa"/>
            <w:vAlign w:val="center"/>
          </w:tcPr>
          <w:p>
            <w:pPr>
              <w:jc w:val="center"/>
              <w:rPr>
                <w:sz w:val="28"/>
                <w:szCs w:val="32"/>
              </w:rPr>
            </w:pPr>
            <w:r>
              <w:rPr>
                <w:rFonts w:hint="eastAsia"/>
                <w:sz w:val="28"/>
                <w:szCs w:val="32"/>
              </w:rPr>
              <w:t>评标办法</w:t>
            </w:r>
          </w:p>
        </w:tc>
        <w:tc>
          <w:tcPr>
            <w:tcW w:w="6847" w:type="dxa"/>
            <w:vAlign w:val="center"/>
          </w:tcPr>
          <w:p>
            <w:pPr>
              <w:rPr>
                <w:sz w:val="28"/>
                <w:szCs w:val="32"/>
              </w:rPr>
            </w:pPr>
            <w:r>
              <w:rPr>
                <w:rFonts w:hint="eastAsia"/>
                <w:sz w:val="28"/>
                <w:szCs w:val="32"/>
              </w:rPr>
              <w:t>综合评估，合理低价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29</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招标文件内容冲突的解决及优先适用次序</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招标文件中招标单位编制的内容前后有矛盾或不一致，有时间先后顺序的，以时间在后的修改、澄清或补正文件为准；没有时间先后顺序的，以公平的原则进行处理。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招标文件解释</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招标单位自行编写的内容由招标单位解释。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25"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31</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投标文件的</w:t>
            </w:r>
          </w:p>
          <w:p>
            <w:pPr>
              <w:jc w:val="center"/>
              <w:rPr>
                <w:sz w:val="28"/>
                <w:szCs w:val="32"/>
              </w:rPr>
            </w:pPr>
            <w:r>
              <w:rPr>
                <w:rFonts w:hint="eastAsia"/>
                <w:sz w:val="28"/>
                <w:szCs w:val="32"/>
              </w:rPr>
              <w:t>真实性要求</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投标单位所递交的投标文件（包括有关资料、澄清）应真实可信，不存在虚假（包括隐瞒）。</w:t>
            </w:r>
          </w:p>
          <w:p>
            <w:pPr>
              <w:rPr>
                <w:sz w:val="28"/>
                <w:szCs w:val="32"/>
              </w:rPr>
            </w:pPr>
            <w:r>
              <w:rPr>
                <w:rFonts w:hint="eastAsia"/>
                <w:sz w:val="28"/>
                <w:szCs w:val="32"/>
              </w:rPr>
              <w:t>投标单位声明不存在限制投标情形但被发现存在限制投标情形的，构成隐瞒，属于虚假投标行为。</w:t>
            </w:r>
          </w:p>
          <w:p>
            <w:pPr>
              <w:rPr>
                <w:sz w:val="28"/>
                <w:szCs w:val="32"/>
              </w:rPr>
            </w:pPr>
            <w:r>
              <w:rPr>
                <w:rFonts w:hint="eastAsia"/>
                <w:sz w:val="28"/>
                <w:szCs w:val="32"/>
              </w:rPr>
              <w:t>如投标文件存在虚假，在评标阶段，评标委员会应将该投标文件作废标处理；中标候选人确定后发现的，招标单位和招投标行政监督部门可以取消中标候选人或中标资格。</w:t>
            </w:r>
          </w:p>
        </w:tc>
      </w:tr>
    </w:tbl>
    <w:p>
      <w:pPr>
        <w:pBdr>
          <w:top w:val="none" w:color="000000" w:sz="0" w:space="0"/>
          <w:left w:val="none" w:color="000000" w:sz="0" w:space="0"/>
          <w:bottom w:val="none" w:color="000000" w:sz="0" w:space="0"/>
          <w:right w:val="none" w:color="000000" w:sz="0" w:space="0"/>
        </w:pBdr>
        <w:spacing w:line="360" w:lineRule="auto"/>
        <w:rPr>
          <w:bCs/>
          <w:sz w:val="28"/>
          <w:szCs w:val="28"/>
        </w:rPr>
      </w:pPr>
    </w:p>
    <w:p>
      <w:pPr>
        <w:tabs>
          <w:tab w:val="left" w:pos="8049"/>
        </w:tabs>
        <w:autoSpaceDE w:val="0"/>
        <w:autoSpaceDN w:val="0"/>
        <w:adjustRightInd w:val="0"/>
        <w:spacing w:line="720" w:lineRule="auto"/>
        <w:jc w:val="center"/>
        <w:rPr>
          <w:b/>
          <w:sz w:val="44"/>
          <w:szCs w:val="44"/>
        </w:rPr>
      </w:pPr>
      <w:bookmarkStart w:id="39" w:name="_Toc31501"/>
      <w:bookmarkStart w:id="40" w:name="_Toc31811"/>
      <w:bookmarkStart w:id="41" w:name="_Toc17806"/>
      <w:bookmarkStart w:id="42" w:name="_Toc524358795"/>
      <w:bookmarkStart w:id="43" w:name="_Toc144974577"/>
      <w:bookmarkStart w:id="44" w:name="_Toc29651"/>
      <w:bookmarkStart w:id="45" w:name="_Toc101904124"/>
      <w:bookmarkStart w:id="46" w:name="_Toc524094522"/>
      <w:bookmarkStart w:id="47" w:name="_Toc152042387"/>
      <w:bookmarkStart w:id="48" w:name="_Toc101904186"/>
      <w:bookmarkStart w:id="49" w:name="_Toc16935"/>
      <w:bookmarkStart w:id="50" w:name="_Toc152045609"/>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21"/>
        <w:rPr>
          <w:spacing w:val="4"/>
        </w:rPr>
      </w:pPr>
      <w:r>
        <w:rPr>
          <w:rFonts w:hint="eastAsia"/>
        </w:rPr>
        <w:t>第三章：</w:t>
      </w:r>
      <w:bookmarkEnd w:id="39"/>
      <w:bookmarkEnd w:id="40"/>
      <w:bookmarkEnd w:id="41"/>
      <w:bookmarkEnd w:id="42"/>
      <w:bookmarkEnd w:id="43"/>
      <w:bookmarkEnd w:id="44"/>
      <w:bookmarkEnd w:id="45"/>
      <w:bookmarkEnd w:id="46"/>
      <w:bookmarkEnd w:id="47"/>
      <w:bookmarkEnd w:id="48"/>
      <w:bookmarkEnd w:id="49"/>
      <w:bookmarkEnd w:id="50"/>
      <w:bookmarkStart w:id="51" w:name="_Toc491248966"/>
      <w:r>
        <w:rPr>
          <w:rFonts w:hint="eastAsia"/>
          <w:spacing w:val="4"/>
          <w:sz w:val="36"/>
          <w:szCs w:val="36"/>
        </w:rPr>
        <w:t xml:space="preserve"> </w:t>
      </w:r>
      <w:r>
        <w:rPr>
          <w:rFonts w:hint="eastAsia"/>
        </w:rPr>
        <w:t>商务部分</w:t>
      </w:r>
    </w:p>
    <w:p>
      <w:pPr>
        <w:adjustRightInd w:val="0"/>
        <w:snapToGrid w:val="0"/>
        <w:ind w:firstLine="618"/>
        <w:jc w:val="center"/>
        <w:rPr>
          <w:b/>
          <w:spacing w:val="4"/>
          <w:sz w:val="24"/>
        </w:rPr>
      </w:pP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1.编制依据</w:t>
      </w:r>
    </w:p>
    <w:p>
      <w:pPr>
        <w:pStyle w:val="19"/>
        <w:adjustRightInd w:val="0"/>
        <w:snapToGrid w:val="0"/>
        <w:spacing w:before="62" w:beforeLines="20" w:after="62" w:afterLines="20" w:line="360" w:lineRule="auto"/>
        <w:ind w:firstLine="560"/>
        <w:rPr>
          <w:spacing w:val="0"/>
          <w:szCs w:val="28"/>
        </w:rPr>
      </w:pPr>
      <w:r>
        <w:rPr>
          <w:rFonts w:hint="eastAsia"/>
          <w:spacing w:val="0"/>
          <w:szCs w:val="28"/>
        </w:rPr>
        <w:t>根据国家国家法律法规及省、市有关管理规定并结合本工程具体情况编制本招标文件。</w:t>
      </w: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2.资质条件及其它要求要求</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2.1、在中华人民共和国境内依法注册，持有最新的有效的营业执照（五证合一），相关资质证书；</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2.2、良好的商业信誉和健全的财务会计制度，在法律和财务上独立，能够独立承担民事责任；提供近三年财务报表；公司征信报告；</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2.3、招标项目在投标单位的经营范围内；具有履行合同所必需的设备和专业技术能力；</w:t>
      </w:r>
    </w:p>
    <w:p>
      <w:pPr>
        <w:adjustRightInd w:val="0"/>
        <w:snapToGrid w:val="0"/>
        <w:spacing w:before="62" w:beforeLines="20" w:after="62" w:afterLines="20" w:line="360" w:lineRule="auto"/>
        <w:ind w:firstLine="562" w:firstLineChars="200"/>
        <w:rPr>
          <w:sz w:val="28"/>
          <w:szCs w:val="28"/>
        </w:rPr>
      </w:pPr>
      <w:r>
        <w:rPr>
          <w:rFonts w:hint="eastAsia"/>
          <w:b/>
          <w:sz w:val="28"/>
          <w:szCs w:val="28"/>
        </w:rPr>
        <w:t>3.项目概况</w:t>
      </w:r>
    </w:p>
    <w:p>
      <w:pPr>
        <w:pStyle w:val="17"/>
        <w:pBdr>
          <w:bottom w:val="none" w:color="auto" w:sz="0" w:space="0"/>
        </w:pBdr>
        <w:tabs>
          <w:tab w:val="left" w:pos="420"/>
        </w:tabs>
        <w:snapToGrid/>
        <w:spacing w:line="360" w:lineRule="auto"/>
        <w:ind w:firstLine="560" w:firstLineChars="200"/>
        <w:rPr>
          <w:sz w:val="28"/>
          <w:szCs w:val="28"/>
        </w:rPr>
      </w:pPr>
      <w:r>
        <w:rPr>
          <w:rFonts w:hint="eastAsia"/>
          <w:sz w:val="28"/>
          <w:szCs w:val="28"/>
        </w:rPr>
        <w:t>3.1</w:t>
      </w:r>
      <w:r>
        <w:rPr>
          <w:rFonts w:hint="eastAsia"/>
          <w:spacing w:val="20"/>
          <w:sz w:val="28"/>
          <w:szCs w:val="28"/>
        </w:rPr>
        <w:t>本招标项目为零食有鸣</w:t>
      </w:r>
      <w:r>
        <w:rPr>
          <w:rFonts w:hint="eastAsia"/>
          <w:color w:val="FF0000"/>
          <w:spacing w:val="20"/>
          <w:sz w:val="28"/>
          <w:szCs w:val="28"/>
          <w:u w:val="single"/>
        </w:rPr>
        <w:t>集团及各分公司</w:t>
      </w:r>
      <w:r>
        <w:rPr>
          <w:rFonts w:hint="eastAsia"/>
          <w:spacing w:val="20"/>
          <w:sz w:val="28"/>
          <w:szCs w:val="28"/>
        </w:rPr>
        <w:t>使用，服务范围</w:t>
      </w:r>
      <w:r>
        <w:rPr>
          <w:rFonts w:hint="eastAsia"/>
          <w:color w:val="FF0000"/>
          <w:spacing w:val="20"/>
          <w:sz w:val="28"/>
          <w:szCs w:val="28"/>
          <w:u w:val="single"/>
        </w:rPr>
        <w:t>全国区域。</w:t>
      </w:r>
    </w:p>
    <w:p>
      <w:pPr>
        <w:spacing w:line="360" w:lineRule="auto"/>
        <w:ind w:firstLine="640" w:firstLineChars="200"/>
        <w:rPr>
          <w:sz w:val="28"/>
          <w:szCs w:val="28"/>
        </w:rPr>
      </w:pPr>
      <w:r>
        <w:rPr>
          <w:rFonts w:hint="eastAsia"/>
          <w:spacing w:val="20"/>
          <w:sz w:val="28"/>
          <w:szCs w:val="28"/>
        </w:rPr>
        <w:t>3.2本项目为</w:t>
      </w:r>
      <w:r>
        <w:rPr>
          <w:rFonts w:hint="eastAsia"/>
          <w:bCs/>
          <w:color w:val="FF0000"/>
          <w:sz w:val="28"/>
          <w:szCs w:val="28"/>
          <w:u w:val="single"/>
        </w:rPr>
        <w:t>集团及各分公司</w:t>
      </w:r>
      <w:r>
        <w:rPr>
          <w:rFonts w:hint="eastAsia"/>
          <w:spacing w:val="20"/>
          <w:sz w:val="28"/>
          <w:szCs w:val="28"/>
        </w:rPr>
        <w:t>招标，满足集团及各分公司业务系统算力需求</w:t>
      </w:r>
      <w:r>
        <w:rPr>
          <w:rFonts w:hint="eastAsia"/>
          <w:bCs/>
          <w:sz w:val="28"/>
          <w:szCs w:val="28"/>
        </w:rPr>
        <w:t>，本次为年度使用招标，</w:t>
      </w:r>
      <w:r>
        <w:rPr>
          <w:rFonts w:hint="eastAsia"/>
          <w:bCs/>
          <w:color w:val="FF0000"/>
          <w:sz w:val="28"/>
          <w:szCs w:val="28"/>
          <w:u w:val="single"/>
        </w:rPr>
        <w:t>签订年度框架服务合同</w:t>
      </w:r>
      <w:r>
        <w:rPr>
          <w:rFonts w:hint="eastAsia"/>
          <w:bCs/>
          <w:color w:val="FF0000"/>
          <w:sz w:val="28"/>
          <w:szCs w:val="28"/>
        </w:rPr>
        <w:t>。</w:t>
      </w:r>
    </w:p>
    <w:p>
      <w:pPr>
        <w:spacing w:line="360" w:lineRule="auto"/>
        <w:ind w:firstLine="640" w:firstLineChars="200"/>
        <w:rPr>
          <w:spacing w:val="20"/>
          <w:sz w:val="28"/>
          <w:szCs w:val="28"/>
        </w:rPr>
      </w:pPr>
      <w:r>
        <w:rPr>
          <w:rFonts w:hint="eastAsia"/>
          <w:spacing w:val="20"/>
          <w:sz w:val="28"/>
          <w:szCs w:val="28"/>
        </w:rPr>
        <w:t>3.3建设地点的现场条件：现场具备实施条件。</w:t>
      </w:r>
    </w:p>
    <w:p>
      <w:pPr>
        <w:spacing w:line="360" w:lineRule="auto"/>
        <w:ind w:firstLine="640" w:firstLineChars="200"/>
        <w:rPr>
          <w:spacing w:val="20"/>
          <w:sz w:val="28"/>
          <w:szCs w:val="28"/>
        </w:rPr>
      </w:pPr>
      <w:r>
        <w:rPr>
          <w:rFonts w:hint="eastAsia"/>
          <w:spacing w:val="20"/>
          <w:sz w:val="28"/>
          <w:szCs w:val="28"/>
        </w:rPr>
        <w:t>3.4项目性质：新建。</w:t>
      </w:r>
    </w:p>
    <w:p>
      <w:pPr>
        <w:adjustRightInd w:val="0"/>
        <w:snapToGrid w:val="0"/>
        <w:spacing w:before="62" w:beforeLines="20" w:after="62" w:afterLines="20" w:line="360" w:lineRule="auto"/>
        <w:rPr>
          <w:b/>
          <w:sz w:val="28"/>
          <w:szCs w:val="28"/>
        </w:rPr>
      </w:pPr>
      <w:r>
        <w:rPr>
          <w:rFonts w:hint="eastAsia"/>
          <w:b/>
          <w:sz w:val="28"/>
          <w:szCs w:val="28"/>
        </w:rPr>
        <w:t>4.基本情况</w:t>
      </w:r>
    </w:p>
    <w:p>
      <w:pPr>
        <w:tabs>
          <w:tab w:val="left" w:pos="900"/>
          <w:tab w:val="left" w:pos="1080"/>
        </w:tabs>
        <w:adjustRightInd w:val="0"/>
        <w:spacing w:before="62" w:beforeLines="20" w:after="62" w:afterLines="20" w:line="360" w:lineRule="auto"/>
        <w:ind w:firstLine="411" w:firstLineChars="147"/>
        <w:rPr>
          <w:sz w:val="28"/>
          <w:szCs w:val="28"/>
        </w:rPr>
      </w:pPr>
      <w:r>
        <w:rPr>
          <w:rFonts w:hint="eastAsia"/>
          <w:bCs/>
          <w:sz w:val="28"/>
          <w:szCs w:val="28"/>
        </w:rPr>
        <w:t>4.1</w:t>
      </w:r>
      <w:r>
        <w:rPr>
          <w:rFonts w:hint="eastAsia"/>
          <w:b/>
          <w:bCs/>
          <w:sz w:val="28"/>
          <w:szCs w:val="28"/>
        </w:rPr>
        <w:t xml:space="preserve"> </w:t>
      </w:r>
      <w:r>
        <w:rPr>
          <w:rFonts w:hint="eastAsia"/>
          <w:sz w:val="28"/>
          <w:szCs w:val="28"/>
        </w:rPr>
        <w:t>招标方式、实施地址、资金来源、质量标准、承包方式等见前附表。</w:t>
      </w:r>
    </w:p>
    <w:p>
      <w:pPr>
        <w:tabs>
          <w:tab w:val="left" w:pos="1080"/>
        </w:tabs>
        <w:adjustRightInd w:val="0"/>
        <w:snapToGrid w:val="0"/>
        <w:spacing w:before="62" w:beforeLines="20" w:after="62" w:afterLines="20" w:line="360" w:lineRule="auto"/>
        <w:rPr>
          <w:b/>
          <w:sz w:val="28"/>
          <w:szCs w:val="28"/>
        </w:rPr>
      </w:pPr>
      <w:r>
        <w:rPr>
          <w:rFonts w:hint="eastAsia"/>
          <w:b/>
          <w:sz w:val="28"/>
          <w:szCs w:val="28"/>
        </w:rPr>
        <w:t>5.招标文件</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 xml:space="preserve">5.1 </w:t>
      </w:r>
      <w:r>
        <w:rPr>
          <w:rFonts w:hint="eastAsia"/>
          <w:kern w:val="15"/>
          <w:sz w:val="28"/>
          <w:szCs w:val="28"/>
        </w:rPr>
        <w:t>招标文件是各投标单位编制文件的依据，也是招标方与投标单位签订合同的依据之一，并将作为合同的附件之一。</w:t>
      </w:r>
    </w:p>
    <w:p>
      <w:pPr>
        <w:adjustRightInd w:val="0"/>
        <w:snapToGrid w:val="0"/>
        <w:spacing w:before="62" w:beforeLines="20" w:after="62" w:afterLines="20" w:line="360" w:lineRule="auto"/>
        <w:ind w:firstLine="422" w:firstLineChars="150"/>
        <w:rPr>
          <w:sz w:val="28"/>
          <w:szCs w:val="28"/>
        </w:rPr>
      </w:pPr>
      <w:r>
        <w:rPr>
          <w:rFonts w:hint="eastAsia"/>
          <w:b/>
          <w:kern w:val="15"/>
          <w:sz w:val="28"/>
          <w:szCs w:val="28"/>
        </w:rPr>
        <w:t>5.2</w:t>
      </w:r>
      <w:r>
        <w:rPr>
          <w:rFonts w:hint="eastAsia"/>
          <w:sz w:val="28"/>
          <w:szCs w:val="28"/>
        </w:rPr>
        <w:t>投标单位应认真阅读招标文件中所有条款内容、</w:t>
      </w:r>
      <w:r>
        <w:rPr>
          <w:rFonts w:hint="eastAsia"/>
          <w:kern w:val="15"/>
          <w:sz w:val="28"/>
          <w:szCs w:val="28"/>
        </w:rPr>
        <w:t>技术资料等</w:t>
      </w:r>
      <w:r>
        <w:rPr>
          <w:rFonts w:hint="eastAsia"/>
          <w:sz w:val="28"/>
          <w:szCs w:val="28"/>
        </w:rPr>
        <w:t>，</w:t>
      </w:r>
      <w:r>
        <w:rPr>
          <w:rFonts w:hint="eastAsia"/>
          <w:kern w:val="15"/>
          <w:sz w:val="28"/>
          <w:szCs w:val="28"/>
        </w:rPr>
        <w:t>并对自己就有关文件所做出的解释负责</w:t>
      </w:r>
      <w:r>
        <w:rPr>
          <w:rFonts w:hint="eastAsia"/>
          <w:sz w:val="28"/>
          <w:szCs w:val="28"/>
        </w:rPr>
        <w:t>。</w:t>
      </w:r>
    </w:p>
    <w:p>
      <w:pPr>
        <w:adjustRightInd w:val="0"/>
        <w:snapToGrid w:val="0"/>
        <w:spacing w:before="62" w:beforeLines="20" w:after="62" w:afterLines="20" w:line="360" w:lineRule="auto"/>
        <w:ind w:firstLine="422" w:firstLineChars="150"/>
        <w:rPr>
          <w:b/>
          <w:bCs/>
          <w:kern w:val="15"/>
          <w:sz w:val="28"/>
          <w:szCs w:val="28"/>
        </w:rPr>
      </w:pPr>
      <w:r>
        <w:rPr>
          <w:rFonts w:hint="eastAsia"/>
          <w:b/>
          <w:bCs/>
          <w:sz w:val="28"/>
          <w:szCs w:val="28"/>
        </w:rPr>
        <w:t xml:space="preserve">5.3 </w:t>
      </w:r>
      <w:r>
        <w:rPr>
          <w:rFonts w:hint="eastAsia"/>
          <w:sz w:val="28"/>
          <w:szCs w:val="28"/>
        </w:rPr>
        <w:t>若投标单位对招标文件的某些条款有异议或不能完全响应须在招标文件中以“偏离表”的方式加以详细说明，除说明原因外尚应说明具体的偏离量，未在“偏离表”中说明的内容被视为响应。</w:t>
      </w:r>
    </w:p>
    <w:p>
      <w:pPr>
        <w:adjustRightInd w:val="0"/>
        <w:snapToGrid w:val="0"/>
        <w:spacing w:before="62" w:beforeLines="20" w:after="62" w:afterLines="20" w:line="360" w:lineRule="auto"/>
        <w:rPr>
          <w:b/>
          <w:bCs/>
          <w:sz w:val="28"/>
          <w:szCs w:val="28"/>
        </w:rPr>
      </w:pPr>
      <w:r>
        <w:rPr>
          <w:rFonts w:hint="eastAsia"/>
          <w:b/>
          <w:bCs/>
          <w:sz w:val="28"/>
          <w:szCs w:val="28"/>
        </w:rPr>
        <w:t>6．招标文件的澄清</w:t>
      </w:r>
    </w:p>
    <w:p>
      <w:pPr>
        <w:adjustRightInd w:val="0"/>
        <w:snapToGrid w:val="0"/>
        <w:spacing w:before="62" w:beforeLines="20" w:after="62" w:afterLines="20" w:line="360" w:lineRule="auto"/>
        <w:ind w:left="120" w:leftChars="57" w:firstLine="397" w:firstLineChars="142"/>
        <w:rPr>
          <w:b/>
          <w:bCs/>
          <w:sz w:val="28"/>
          <w:szCs w:val="28"/>
        </w:rPr>
      </w:pPr>
      <w:r>
        <w:rPr>
          <w:rFonts w:hint="eastAsia"/>
          <w:bCs/>
          <w:sz w:val="28"/>
          <w:szCs w:val="28"/>
        </w:rPr>
        <w:t>投标单位对收到的招标文件等有关资料若有问题需要澄清，于</w:t>
      </w:r>
      <w:r>
        <w:rPr>
          <w:rFonts w:hint="eastAsia"/>
          <w:bCs/>
          <w:color w:val="FF0000"/>
          <w:sz w:val="28"/>
          <w:szCs w:val="28"/>
          <w:u w:val="single"/>
        </w:rPr>
        <w:t xml:space="preserve"> 2023</w:t>
      </w:r>
      <w:r>
        <w:rPr>
          <w:rFonts w:hint="eastAsia"/>
          <w:bCs/>
          <w:color w:val="FF0000"/>
          <w:sz w:val="28"/>
          <w:szCs w:val="28"/>
        </w:rPr>
        <w:t>年</w:t>
      </w:r>
      <w:r>
        <w:rPr>
          <w:rFonts w:hint="eastAsia"/>
          <w:bCs/>
          <w:color w:val="FF0000"/>
          <w:sz w:val="28"/>
          <w:szCs w:val="28"/>
          <w:u w:val="single"/>
        </w:rPr>
        <w:t>6</w:t>
      </w:r>
      <w:r>
        <w:rPr>
          <w:rFonts w:hint="eastAsia"/>
          <w:bCs/>
          <w:color w:val="FF0000"/>
          <w:sz w:val="28"/>
          <w:szCs w:val="28"/>
        </w:rPr>
        <w:t>月4日上午</w:t>
      </w:r>
      <w:r>
        <w:rPr>
          <w:rFonts w:hint="eastAsia"/>
          <w:bCs/>
          <w:color w:val="FF0000"/>
          <w:sz w:val="28"/>
          <w:szCs w:val="28"/>
          <w:u w:val="single"/>
        </w:rPr>
        <w:t xml:space="preserve"> 10：00 </w:t>
      </w:r>
      <w:r>
        <w:rPr>
          <w:rFonts w:hint="eastAsia"/>
          <w:bCs/>
          <w:sz w:val="28"/>
          <w:szCs w:val="28"/>
        </w:rPr>
        <w:t>前，以电子文档的形式向招标人提出需要澄清的问题，发送至邮箱：</w:t>
      </w:r>
      <w:r>
        <w:rPr>
          <w:rFonts w:hint="eastAsia"/>
          <w:bCs/>
          <w:color w:val="FF0000"/>
          <w:sz w:val="28"/>
          <w:szCs w:val="28"/>
          <w:u w:val="single"/>
        </w:rPr>
        <w:t xml:space="preserve">  </w:t>
      </w:r>
      <w:r>
        <w:rPr>
          <w:sz w:val="24"/>
          <w:szCs w:val="24"/>
          <w:u w:val="single"/>
        </w:rPr>
        <w:t>kangzhuojia@cdlsym.com</w:t>
      </w: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adjustRightInd w:val="0"/>
        <w:snapToGrid w:val="0"/>
        <w:spacing w:before="62" w:beforeLines="20" w:after="62" w:afterLines="20" w:line="360" w:lineRule="auto"/>
        <w:rPr>
          <w:b/>
          <w:bCs/>
          <w:sz w:val="28"/>
          <w:szCs w:val="28"/>
        </w:rPr>
      </w:pPr>
      <w:r>
        <w:rPr>
          <w:rFonts w:hint="eastAsia"/>
          <w:b/>
          <w:bCs/>
          <w:sz w:val="28"/>
          <w:szCs w:val="28"/>
        </w:rPr>
        <w:t>7．招标文件的修改</w:t>
      </w:r>
    </w:p>
    <w:p>
      <w:pPr>
        <w:adjustRightInd w:val="0"/>
        <w:snapToGrid w:val="0"/>
        <w:spacing w:before="62" w:beforeLines="20" w:after="62" w:afterLines="20" w:line="360" w:lineRule="auto"/>
        <w:ind w:firstLine="420" w:firstLineChars="150"/>
        <w:rPr>
          <w:sz w:val="28"/>
          <w:szCs w:val="28"/>
        </w:rPr>
      </w:pPr>
      <w:r>
        <w:rPr>
          <w:rFonts w:hint="eastAsia"/>
          <w:sz w:val="28"/>
          <w:szCs w:val="28"/>
        </w:rPr>
        <w:t>7.1 招标方在招标文件发出后，如需对招标文件进行修改，将以书面补充通知的形式在截止时间</w:t>
      </w:r>
      <w:r>
        <w:rPr>
          <w:rFonts w:hint="eastAsia"/>
          <w:color w:val="FF0000"/>
          <w:sz w:val="28"/>
          <w:szCs w:val="28"/>
        </w:rPr>
        <w:t>三日前</w:t>
      </w:r>
      <w:r>
        <w:rPr>
          <w:rFonts w:hint="eastAsia"/>
          <w:sz w:val="28"/>
          <w:szCs w:val="28"/>
        </w:rPr>
        <w:t>发给所有获得招标文件的投标单位，补充通知作为招标文件的组成部分。</w:t>
      </w:r>
    </w:p>
    <w:p>
      <w:pPr>
        <w:adjustRightInd w:val="0"/>
        <w:snapToGrid w:val="0"/>
        <w:spacing w:before="62" w:beforeLines="20" w:after="62" w:afterLines="20" w:line="360" w:lineRule="auto"/>
        <w:ind w:firstLine="420" w:firstLineChars="150"/>
        <w:rPr>
          <w:sz w:val="28"/>
          <w:szCs w:val="28"/>
        </w:rPr>
      </w:pPr>
      <w:r>
        <w:rPr>
          <w:rFonts w:hint="eastAsia"/>
          <w:sz w:val="28"/>
          <w:szCs w:val="28"/>
        </w:rPr>
        <w:t>7.2 为使投标单位在编制文件时，把补充通知内容考虑进去，招标方可以酌情延长文件递交截止时间，具体延长日期将在补充通知中写明。</w:t>
      </w:r>
    </w:p>
    <w:p>
      <w:pPr>
        <w:adjustRightInd w:val="0"/>
        <w:snapToGrid w:val="0"/>
        <w:spacing w:before="62" w:beforeLines="20" w:after="62" w:afterLines="20" w:line="360" w:lineRule="auto"/>
        <w:ind w:firstLine="420" w:firstLineChars="150"/>
        <w:rPr>
          <w:sz w:val="28"/>
          <w:szCs w:val="28"/>
        </w:rPr>
      </w:pPr>
      <w:r>
        <w:rPr>
          <w:rFonts w:hint="eastAsia"/>
          <w:sz w:val="28"/>
          <w:szCs w:val="28"/>
        </w:rPr>
        <w:t>7.3 当招标文件、答疑纪要、补充通知内容相互矛盾时，以最后发出的通知（或纪要）为准。</w:t>
      </w:r>
    </w:p>
    <w:p>
      <w:pPr>
        <w:tabs>
          <w:tab w:val="left" w:pos="1440"/>
        </w:tabs>
        <w:adjustRightInd w:val="0"/>
        <w:snapToGrid w:val="0"/>
        <w:spacing w:before="62" w:beforeLines="20" w:after="62" w:afterLines="20" w:line="360" w:lineRule="auto"/>
        <w:rPr>
          <w:b/>
          <w:sz w:val="28"/>
          <w:szCs w:val="28"/>
        </w:rPr>
      </w:pPr>
      <w:r>
        <w:rPr>
          <w:rFonts w:hint="eastAsia"/>
          <w:b/>
          <w:sz w:val="28"/>
          <w:szCs w:val="28"/>
        </w:rPr>
        <w:t>8.投标文件的编制</w:t>
      </w:r>
    </w:p>
    <w:p>
      <w:pPr>
        <w:tabs>
          <w:tab w:val="left" w:pos="1440"/>
        </w:tabs>
        <w:adjustRightInd w:val="0"/>
        <w:snapToGrid w:val="0"/>
        <w:spacing w:before="62" w:beforeLines="20" w:after="62" w:afterLines="20" w:line="360" w:lineRule="auto"/>
        <w:ind w:firstLine="420" w:firstLineChars="150"/>
        <w:rPr>
          <w:sz w:val="28"/>
          <w:szCs w:val="28"/>
        </w:rPr>
      </w:pPr>
      <w:r>
        <w:rPr>
          <w:rFonts w:hint="eastAsia"/>
          <w:sz w:val="28"/>
          <w:szCs w:val="28"/>
        </w:rPr>
        <w:t>8.1</w:t>
      </w:r>
      <w:r>
        <w:rPr>
          <w:rFonts w:hint="eastAsia"/>
          <w:bCs/>
          <w:sz w:val="28"/>
          <w:szCs w:val="28"/>
        </w:rPr>
        <w:t>投标文件的语言</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投标文件及投标单位与招标方之间与投标有关的来往通知、函件和文件均应使用中文。</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8.2投标文件计量单位</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除在招标文件的技术条件中另有规定外，计量单位使用中华人民共和国法定计量单位。</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 投标文件的编制格式要求</w:t>
      </w:r>
    </w:p>
    <w:p>
      <w:pPr>
        <w:adjustRightInd w:val="0"/>
        <w:spacing w:before="62" w:beforeLines="20" w:after="62" w:afterLines="20" w:line="360" w:lineRule="auto"/>
        <w:ind w:firstLine="560" w:firstLineChars="200"/>
        <w:rPr>
          <w:b/>
          <w:bCs/>
          <w:sz w:val="28"/>
          <w:szCs w:val="28"/>
        </w:rPr>
      </w:pPr>
      <w:r>
        <w:rPr>
          <w:rFonts w:hint="eastAsia"/>
          <w:bCs/>
          <w:sz w:val="28"/>
          <w:szCs w:val="28"/>
        </w:rPr>
        <w:t>投标人必须严格按照招标文件规定的顺序：第一为商务部分；第二为技术部分；第三为参考部分来编制投标书</w:t>
      </w:r>
      <w:r>
        <w:rPr>
          <w:rFonts w:hint="eastAsia"/>
          <w:sz w:val="28"/>
          <w:szCs w:val="28"/>
        </w:rPr>
        <w:t>。</w:t>
      </w:r>
    </w:p>
    <w:p>
      <w:pPr>
        <w:adjustRightInd w:val="0"/>
        <w:snapToGrid w:val="0"/>
        <w:spacing w:line="360" w:lineRule="auto"/>
        <w:ind w:firstLine="422" w:firstLineChars="150"/>
        <w:rPr>
          <w:b/>
          <w:bCs/>
          <w:sz w:val="28"/>
          <w:szCs w:val="28"/>
        </w:rPr>
      </w:pPr>
      <w:r>
        <w:rPr>
          <w:rFonts w:hint="eastAsia"/>
          <w:b/>
          <w:bCs/>
          <w:sz w:val="28"/>
          <w:szCs w:val="28"/>
        </w:rPr>
        <w:t>8.3.1商务标的文件组成</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8.3.1.1投标函（附表一）；</w:t>
      </w:r>
    </w:p>
    <w:p>
      <w:pPr>
        <w:tabs>
          <w:tab w:val="left" w:pos="2700"/>
        </w:tabs>
        <w:adjustRightInd w:val="0"/>
        <w:snapToGrid w:val="0"/>
        <w:spacing w:before="62" w:beforeLines="20" w:after="62" w:afterLines="20" w:line="360" w:lineRule="auto"/>
        <w:ind w:firstLine="420" w:firstLineChars="150"/>
        <w:rPr>
          <w:color w:val="FF0000"/>
          <w:spacing w:val="20"/>
          <w:sz w:val="28"/>
          <w:szCs w:val="28"/>
        </w:rPr>
      </w:pPr>
      <w:r>
        <w:rPr>
          <w:rFonts w:hint="eastAsia"/>
          <w:color w:val="FF0000"/>
          <w:sz w:val="28"/>
          <w:szCs w:val="28"/>
        </w:rPr>
        <w:t>8.3.1.2</w:t>
      </w:r>
      <w:r>
        <w:rPr>
          <w:rFonts w:hint="eastAsia"/>
          <w:color w:val="FF0000"/>
          <w:spacing w:val="20"/>
          <w:sz w:val="28"/>
          <w:szCs w:val="28"/>
        </w:rPr>
        <w:t>投标人声明书（附件二）</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8.3.1.3诚信承诺书（附件三）</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8.3.1.4【零食有鸣】关于反商业贿赂行为的声明（附件四）</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8.3.1.5法定代表人身份证明（附件五）</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8.3.1.6法定代表人授权委托书（附件六）</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8.3.1.7项目经理任命书（附件七）</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8.3.1.8拟在本项目任职主要人员简历表（附件八）</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8.3.1.9投标人近两年类似项目（附件九）</w:t>
      </w:r>
    </w:p>
    <w:p>
      <w:pPr>
        <w:adjustRightInd w:val="0"/>
        <w:spacing w:before="62" w:beforeLines="20" w:after="62" w:afterLines="20" w:line="360" w:lineRule="auto"/>
        <w:ind w:firstLine="420" w:firstLineChars="150"/>
        <w:rPr>
          <w:bCs/>
          <w:color w:val="FF0000"/>
          <w:sz w:val="28"/>
          <w:szCs w:val="28"/>
        </w:rPr>
      </w:pPr>
      <w:r>
        <w:rPr>
          <w:rFonts w:hint="eastAsia"/>
          <w:bCs/>
          <w:color w:val="FF0000"/>
          <w:sz w:val="28"/>
          <w:szCs w:val="28"/>
        </w:rPr>
        <w:t>8.3.1.10项目报价明细表</w:t>
      </w:r>
      <w:r>
        <w:rPr>
          <w:rFonts w:hint="eastAsia"/>
          <w:color w:val="FF0000"/>
          <w:sz w:val="28"/>
          <w:szCs w:val="28"/>
        </w:rPr>
        <w:t>（附件十）</w:t>
      </w:r>
    </w:p>
    <w:p>
      <w:pPr>
        <w:adjustRightInd w:val="0"/>
        <w:spacing w:before="93" w:beforeLines="30" w:after="93" w:afterLines="30" w:line="360" w:lineRule="auto"/>
        <w:ind w:firstLine="420" w:firstLineChars="150"/>
        <w:rPr>
          <w:bCs/>
          <w:color w:val="FF0000"/>
          <w:sz w:val="28"/>
          <w:szCs w:val="28"/>
        </w:rPr>
      </w:pPr>
      <w:r>
        <w:rPr>
          <w:rFonts w:hint="eastAsia"/>
          <w:color w:val="FF0000"/>
          <w:sz w:val="28"/>
          <w:szCs w:val="28"/>
        </w:rPr>
        <w:t>8.3.1.11</w:t>
      </w:r>
      <w:r>
        <w:rPr>
          <w:rFonts w:hint="eastAsia"/>
          <w:bCs/>
          <w:color w:val="FF0000"/>
          <w:sz w:val="28"/>
          <w:szCs w:val="28"/>
        </w:rPr>
        <w:t>投标单价分析明细表（</w:t>
      </w:r>
      <w:r>
        <w:rPr>
          <w:rFonts w:hint="eastAsia"/>
          <w:b/>
          <w:bCs/>
          <w:color w:val="FF0000"/>
          <w:sz w:val="28"/>
          <w:szCs w:val="28"/>
        </w:rPr>
        <w:t>注：此表必报，由投标单位自行制表。要在此表中根据实施方案逐项列出投标单价详细组成，对主要材料要注明品牌和技术参数</w:t>
      </w:r>
      <w:r>
        <w:rPr>
          <w:rFonts w:hint="eastAsia"/>
          <w:bCs/>
          <w:color w:val="FF0000"/>
          <w:sz w:val="28"/>
          <w:szCs w:val="28"/>
        </w:rPr>
        <w:t>）；</w:t>
      </w:r>
    </w:p>
    <w:p>
      <w:pPr>
        <w:adjustRightInd w:val="0"/>
        <w:snapToGrid w:val="0"/>
        <w:spacing w:before="62" w:beforeLines="20" w:after="62" w:afterLines="20" w:line="360" w:lineRule="auto"/>
        <w:ind w:firstLine="420" w:firstLineChars="150"/>
        <w:rPr>
          <w:color w:val="FF0000"/>
          <w:kern w:val="15"/>
          <w:sz w:val="28"/>
          <w:szCs w:val="28"/>
        </w:rPr>
      </w:pPr>
      <w:r>
        <w:rPr>
          <w:rFonts w:hint="eastAsia"/>
          <w:color w:val="FF0000"/>
          <w:sz w:val="28"/>
          <w:szCs w:val="28"/>
        </w:rPr>
        <w:t>8.3.1.12</w:t>
      </w:r>
      <w:r>
        <w:rPr>
          <w:rFonts w:hint="eastAsia"/>
          <w:color w:val="FF0000"/>
          <w:kern w:val="15"/>
          <w:sz w:val="28"/>
          <w:szCs w:val="28"/>
        </w:rPr>
        <w:t>投标单位营业执照、相关资质证书、近三年财务报表、公司征信报告。</w:t>
      </w:r>
    </w:p>
    <w:p>
      <w:pPr>
        <w:adjustRightInd w:val="0"/>
        <w:snapToGrid w:val="0"/>
        <w:spacing w:before="62" w:beforeLines="20" w:after="62" w:afterLines="20" w:line="360" w:lineRule="auto"/>
        <w:ind w:firstLine="420" w:firstLineChars="150"/>
        <w:rPr>
          <w:b/>
          <w:bCs/>
          <w:sz w:val="28"/>
          <w:szCs w:val="28"/>
        </w:rPr>
      </w:pPr>
      <w:r>
        <w:rPr>
          <w:rFonts w:hint="eastAsia"/>
          <w:bCs/>
          <w:sz w:val="28"/>
          <w:szCs w:val="28"/>
        </w:rPr>
        <w:t>8．3.2</w:t>
      </w:r>
      <w:r>
        <w:rPr>
          <w:rFonts w:hint="eastAsia"/>
          <w:b/>
          <w:bCs/>
          <w:sz w:val="28"/>
          <w:szCs w:val="28"/>
        </w:rPr>
        <w:t>技术标文件组成</w:t>
      </w:r>
    </w:p>
    <w:p>
      <w:pPr>
        <w:pStyle w:val="33"/>
        <w:numPr>
          <w:ilvl w:val="0"/>
          <w:numId w:val="8"/>
        </w:numPr>
        <w:spacing w:line="360" w:lineRule="auto"/>
        <w:ind w:firstLineChars="0"/>
        <w:rPr>
          <w:sz w:val="24"/>
          <w:szCs w:val="24"/>
        </w:rPr>
      </w:pPr>
      <w:r>
        <w:rPr>
          <w:rFonts w:hint="eastAsia"/>
          <w:sz w:val="24"/>
          <w:szCs w:val="24"/>
        </w:rPr>
        <w:t>技术标书目录</w:t>
      </w:r>
    </w:p>
    <w:p>
      <w:pPr>
        <w:pStyle w:val="33"/>
        <w:numPr>
          <w:ilvl w:val="0"/>
          <w:numId w:val="8"/>
        </w:numPr>
        <w:spacing w:line="360" w:lineRule="auto"/>
        <w:ind w:firstLineChars="0"/>
        <w:rPr>
          <w:sz w:val="24"/>
          <w:szCs w:val="24"/>
        </w:rPr>
      </w:pPr>
      <w:r>
        <w:rPr>
          <w:rFonts w:hint="eastAsia"/>
          <w:sz w:val="24"/>
          <w:szCs w:val="24"/>
        </w:rPr>
        <w:t>项目技术解决方案</w:t>
      </w:r>
    </w:p>
    <w:p>
      <w:pPr>
        <w:pStyle w:val="33"/>
        <w:numPr>
          <w:ilvl w:val="0"/>
          <w:numId w:val="9"/>
        </w:numPr>
        <w:spacing w:line="360" w:lineRule="auto"/>
        <w:ind w:firstLineChars="0"/>
        <w:rPr>
          <w:sz w:val="24"/>
          <w:szCs w:val="24"/>
        </w:rPr>
      </w:pPr>
      <w:r>
        <w:rPr>
          <w:rFonts w:hint="eastAsia"/>
          <w:sz w:val="24"/>
          <w:szCs w:val="24"/>
        </w:rPr>
        <w:t>请投标人在技术方案中陈述产品技术架构；同时描述该产品与其他相关系统集成的方案设计思路； 如何满足个性化二次开发需求等</w:t>
      </w:r>
    </w:p>
    <w:p>
      <w:pPr>
        <w:pStyle w:val="33"/>
        <w:numPr>
          <w:ilvl w:val="0"/>
          <w:numId w:val="8"/>
        </w:numPr>
        <w:spacing w:line="360" w:lineRule="auto"/>
        <w:ind w:firstLineChars="0"/>
        <w:rPr>
          <w:sz w:val="24"/>
          <w:szCs w:val="24"/>
        </w:rPr>
      </w:pPr>
      <w:r>
        <w:rPr>
          <w:rFonts w:hint="eastAsia"/>
          <w:sz w:val="24"/>
          <w:szCs w:val="24"/>
        </w:rPr>
        <w:t>项目实施方案</w:t>
      </w:r>
    </w:p>
    <w:p>
      <w:pPr>
        <w:pStyle w:val="33"/>
        <w:numPr>
          <w:ilvl w:val="0"/>
          <w:numId w:val="9"/>
        </w:numPr>
        <w:spacing w:line="360" w:lineRule="auto"/>
        <w:ind w:firstLineChars="0"/>
        <w:rPr>
          <w:sz w:val="24"/>
          <w:szCs w:val="24"/>
        </w:rPr>
      </w:pPr>
      <w:r>
        <w:rPr>
          <w:rFonts w:hint="eastAsia"/>
          <w:sz w:val="24"/>
          <w:szCs w:val="24"/>
        </w:rPr>
        <w:t xml:space="preserve">项目实施策略以及实施计划 </w:t>
      </w:r>
    </w:p>
    <w:p>
      <w:pPr>
        <w:pStyle w:val="33"/>
        <w:numPr>
          <w:ilvl w:val="0"/>
          <w:numId w:val="9"/>
        </w:numPr>
        <w:spacing w:line="360" w:lineRule="auto"/>
        <w:ind w:firstLineChars="0"/>
        <w:rPr>
          <w:sz w:val="24"/>
          <w:szCs w:val="24"/>
        </w:rPr>
      </w:pPr>
      <w:r>
        <w:rPr>
          <w:rFonts w:hint="eastAsia"/>
          <w:sz w:val="24"/>
          <w:szCs w:val="24"/>
        </w:rPr>
        <w:t xml:space="preserve">项目实施方法和交付内容 </w:t>
      </w:r>
    </w:p>
    <w:p>
      <w:pPr>
        <w:pStyle w:val="33"/>
        <w:numPr>
          <w:ilvl w:val="0"/>
          <w:numId w:val="9"/>
        </w:numPr>
        <w:spacing w:line="360" w:lineRule="auto"/>
        <w:ind w:firstLineChars="0"/>
        <w:rPr>
          <w:sz w:val="24"/>
          <w:szCs w:val="24"/>
        </w:rPr>
      </w:pPr>
      <w:r>
        <w:rPr>
          <w:rFonts w:hint="eastAsia"/>
          <w:sz w:val="24"/>
          <w:szCs w:val="24"/>
        </w:rPr>
        <w:t xml:space="preserve">项目实施组织和职责分工 </w:t>
      </w:r>
    </w:p>
    <w:p>
      <w:pPr>
        <w:pStyle w:val="33"/>
        <w:numPr>
          <w:ilvl w:val="0"/>
          <w:numId w:val="8"/>
        </w:numPr>
        <w:spacing w:line="360" w:lineRule="auto"/>
        <w:ind w:firstLineChars="0"/>
        <w:rPr>
          <w:sz w:val="24"/>
          <w:szCs w:val="24"/>
        </w:rPr>
      </w:pPr>
      <w:r>
        <w:rPr>
          <w:rFonts w:hint="eastAsia"/>
          <w:sz w:val="24"/>
          <w:szCs w:val="24"/>
        </w:rPr>
        <w:t>项目管理方案</w:t>
      </w:r>
    </w:p>
    <w:p>
      <w:pPr>
        <w:pStyle w:val="33"/>
        <w:numPr>
          <w:ilvl w:val="0"/>
          <w:numId w:val="9"/>
        </w:numPr>
        <w:spacing w:line="360" w:lineRule="auto"/>
        <w:ind w:firstLineChars="0"/>
        <w:rPr>
          <w:sz w:val="24"/>
          <w:szCs w:val="24"/>
        </w:rPr>
      </w:pPr>
      <w:r>
        <w:rPr>
          <w:rFonts w:hint="eastAsia"/>
          <w:sz w:val="24"/>
          <w:szCs w:val="24"/>
        </w:rPr>
        <w:t xml:space="preserve">请投标人提供在项目实施过程中如何进行有效的项目管理，如：项目进度管理、质量管理、项目实施过程中面临的主要实施风险以及对应的控制方案等； </w:t>
      </w:r>
    </w:p>
    <w:p>
      <w:pPr>
        <w:pStyle w:val="33"/>
        <w:numPr>
          <w:ilvl w:val="0"/>
          <w:numId w:val="8"/>
        </w:numPr>
        <w:spacing w:line="360" w:lineRule="auto"/>
        <w:ind w:firstLineChars="0"/>
        <w:rPr>
          <w:sz w:val="24"/>
          <w:szCs w:val="24"/>
        </w:rPr>
      </w:pPr>
      <w:r>
        <w:rPr>
          <w:rFonts w:hint="eastAsia"/>
          <w:sz w:val="24"/>
          <w:szCs w:val="24"/>
        </w:rPr>
        <w:t>项目培训方案</w:t>
      </w:r>
    </w:p>
    <w:p>
      <w:pPr>
        <w:pStyle w:val="33"/>
        <w:numPr>
          <w:ilvl w:val="0"/>
          <w:numId w:val="9"/>
        </w:numPr>
        <w:spacing w:line="360" w:lineRule="auto"/>
        <w:ind w:firstLineChars="0"/>
        <w:rPr>
          <w:sz w:val="24"/>
          <w:szCs w:val="24"/>
        </w:rPr>
      </w:pPr>
      <w:r>
        <w:rPr>
          <w:rFonts w:hint="eastAsia"/>
          <w:sz w:val="24"/>
          <w:szCs w:val="24"/>
        </w:rPr>
        <w:t>请投标人提供在项目实施过程中提供的主要培训内容、培训计划以及知识转移方案；</w:t>
      </w:r>
    </w:p>
    <w:p>
      <w:pPr>
        <w:pStyle w:val="33"/>
        <w:numPr>
          <w:ilvl w:val="0"/>
          <w:numId w:val="8"/>
        </w:numPr>
        <w:spacing w:line="360" w:lineRule="auto"/>
        <w:ind w:firstLineChars="0"/>
        <w:rPr>
          <w:sz w:val="24"/>
          <w:szCs w:val="24"/>
        </w:rPr>
      </w:pPr>
      <w:r>
        <w:rPr>
          <w:rFonts w:hint="eastAsia"/>
          <w:sz w:val="24"/>
          <w:szCs w:val="24"/>
        </w:rPr>
        <w:t>售后服务与维护方案</w:t>
      </w:r>
    </w:p>
    <w:p>
      <w:pPr>
        <w:pStyle w:val="33"/>
        <w:numPr>
          <w:ilvl w:val="0"/>
          <w:numId w:val="9"/>
        </w:numPr>
        <w:spacing w:line="360" w:lineRule="auto"/>
        <w:ind w:firstLineChars="0"/>
        <w:rPr>
          <w:sz w:val="24"/>
          <w:szCs w:val="24"/>
        </w:rPr>
      </w:pPr>
      <w:r>
        <w:rPr>
          <w:rFonts w:hint="eastAsia"/>
          <w:sz w:val="24"/>
          <w:szCs w:val="24"/>
        </w:rPr>
        <w:t>请投标人提供系统上线后的系统维护方案以及投标人可以提供的后续支持和服务方案；</w:t>
      </w:r>
    </w:p>
    <w:p>
      <w:pPr>
        <w:pStyle w:val="33"/>
        <w:numPr>
          <w:ilvl w:val="0"/>
          <w:numId w:val="8"/>
        </w:numPr>
        <w:spacing w:line="360" w:lineRule="auto"/>
        <w:ind w:firstLineChars="0"/>
        <w:rPr>
          <w:sz w:val="24"/>
          <w:szCs w:val="24"/>
        </w:rPr>
      </w:pPr>
      <w:r>
        <w:rPr>
          <w:rFonts w:hint="eastAsia"/>
          <w:sz w:val="24"/>
          <w:szCs w:val="24"/>
        </w:rPr>
        <w:t>系统升级方案</w:t>
      </w:r>
    </w:p>
    <w:p>
      <w:pPr>
        <w:pStyle w:val="33"/>
        <w:numPr>
          <w:ilvl w:val="0"/>
          <w:numId w:val="9"/>
        </w:numPr>
        <w:spacing w:line="360" w:lineRule="auto"/>
        <w:ind w:firstLineChars="0"/>
        <w:rPr>
          <w:sz w:val="24"/>
          <w:szCs w:val="24"/>
        </w:rPr>
      </w:pPr>
      <w:r>
        <w:rPr>
          <w:rFonts w:hint="eastAsia"/>
          <w:sz w:val="24"/>
          <w:szCs w:val="24"/>
        </w:rPr>
        <w:t>系统后续集成及二次开发升级如何保证</w:t>
      </w:r>
    </w:p>
    <w:p>
      <w:pPr>
        <w:pStyle w:val="33"/>
        <w:numPr>
          <w:ilvl w:val="0"/>
          <w:numId w:val="8"/>
        </w:numPr>
        <w:spacing w:line="360" w:lineRule="auto"/>
        <w:ind w:firstLineChars="0"/>
        <w:rPr>
          <w:sz w:val="24"/>
          <w:szCs w:val="24"/>
        </w:rPr>
      </w:pPr>
      <w:r>
        <w:rPr>
          <w:rFonts w:hint="eastAsia"/>
          <w:sz w:val="24"/>
          <w:szCs w:val="24"/>
        </w:rPr>
        <w:t>投标人近三年同类项目成功实施经验；</w:t>
      </w:r>
    </w:p>
    <w:p>
      <w:pPr>
        <w:pStyle w:val="33"/>
        <w:numPr>
          <w:ilvl w:val="0"/>
          <w:numId w:val="8"/>
        </w:numPr>
        <w:spacing w:line="360" w:lineRule="auto"/>
        <w:ind w:firstLineChars="0"/>
        <w:rPr>
          <w:sz w:val="24"/>
          <w:szCs w:val="24"/>
        </w:rPr>
      </w:pPr>
      <w:r>
        <w:rPr>
          <w:rFonts w:hint="eastAsia"/>
          <w:sz w:val="24"/>
          <w:szCs w:val="24"/>
        </w:rPr>
        <w:t>投标人认为其他需要提供的材料。</w:t>
      </w:r>
    </w:p>
    <w:p>
      <w:pPr>
        <w:adjustRightInd w:val="0"/>
        <w:snapToGrid w:val="0"/>
        <w:spacing w:before="62" w:beforeLines="20" w:after="62" w:afterLines="20" w:line="360" w:lineRule="auto"/>
        <w:ind w:firstLine="420" w:firstLineChars="150"/>
        <w:rPr>
          <w:kern w:val="15"/>
          <w:sz w:val="28"/>
          <w:szCs w:val="28"/>
        </w:rPr>
      </w:pP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8.3.3  投标参考文件组成</w:t>
      </w:r>
    </w:p>
    <w:p>
      <w:pPr>
        <w:adjustRightInd w:val="0"/>
        <w:snapToGrid w:val="0"/>
        <w:spacing w:before="93" w:beforeLines="30" w:after="93" w:afterLines="30" w:line="360" w:lineRule="auto"/>
        <w:ind w:firstLine="420" w:firstLineChars="150"/>
        <w:rPr>
          <w:sz w:val="28"/>
          <w:szCs w:val="28"/>
        </w:rPr>
      </w:pPr>
      <w:r>
        <w:rPr>
          <w:rFonts w:hint="eastAsia"/>
          <w:sz w:val="28"/>
          <w:szCs w:val="28"/>
        </w:rPr>
        <w:t>8.3.3.1投标单位的企业概况及营业执照、企业资质证书、法定代表人证书和项目经理证书的复印件、近三年财务报表并加盖单位公章、公司征信报告；</w:t>
      </w:r>
    </w:p>
    <w:p>
      <w:pPr>
        <w:adjustRightInd w:val="0"/>
        <w:snapToGrid w:val="0"/>
        <w:spacing w:before="93" w:beforeLines="30" w:after="93" w:afterLines="30" w:line="360" w:lineRule="auto"/>
        <w:ind w:firstLine="420" w:firstLineChars="150"/>
        <w:rPr>
          <w:sz w:val="28"/>
          <w:szCs w:val="28"/>
        </w:rPr>
      </w:pPr>
      <w:r>
        <w:rPr>
          <w:rFonts w:hint="eastAsia"/>
          <w:sz w:val="28"/>
          <w:szCs w:val="28"/>
        </w:rPr>
        <w:t>8.3.3.2拟用于本项目的项目经理、项目部主要管理人员、主要施工机械情况和近几年来完成业绩的情况并附带具有代表性的项目合同复印件等；</w:t>
      </w:r>
    </w:p>
    <w:p>
      <w:pPr>
        <w:adjustRightInd w:val="0"/>
        <w:snapToGrid w:val="0"/>
        <w:spacing w:before="62" w:beforeLines="20" w:after="62" w:afterLines="20" w:line="360" w:lineRule="auto"/>
        <w:ind w:firstLine="420" w:firstLineChars="150"/>
        <w:rPr>
          <w:sz w:val="28"/>
          <w:szCs w:val="28"/>
        </w:rPr>
      </w:pPr>
      <w:r>
        <w:rPr>
          <w:rFonts w:hint="eastAsia"/>
          <w:sz w:val="28"/>
          <w:szCs w:val="28"/>
        </w:rPr>
        <w:t>8.3.3.3投标单位认为与本项目有关的其它资料。</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8.4．报价采用币种</w:t>
      </w:r>
    </w:p>
    <w:p>
      <w:pPr>
        <w:tabs>
          <w:tab w:val="left" w:pos="1080"/>
        </w:tabs>
        <w:adjustRightInd w:val="0"/>
        <w:snapToGrid w:val="0"/>
        <w:spacing w:before="62" w:beforeLines="20" w:after="62" w:afterLines="20" w:line="360" w:lineRule="auto"/>
        <w:ind w:firstLine="420" w:firstLineChars="150"/>
        <w:rPr>
          <w:sz w:val="28"/>
          <w:szCs w:val="28"/>
        </w:rPr>
      </w:pPr>
      <w:r>
        <w:rPr>
          <w:rFonts w:hint="eastAsia"/>
          <w:sz w:val="28"/>
          <w:szCs w:val="28"/>
        </w:rPr>
        <w:t>8.4.1 本项目投标文件中预算和报价全部采用人民币表示。</w:t>
      </w:r>
    </w:p>
    <w:p>
      <w:pPr>
        <w:tabs>
          <w:tab w:val="left" w:pos="1080"/>
        </w:tabs>
        <w:adjustRightInd w:val="0"/>
        <w:snapToGrid w:val="0"/>
        <w:spacing w:before="62" w:beforeLines="20" w:after="62" w:afterLines="20" w:line="360" w:lineRule="auto"/>
        <w:ind w:firstLine="422" w:firstLineChars="150"/>
        <w:rPr>
          <w:b/>
          <w:bCs/>
          <w:sz w:val="28"/>
          <w:szCs w:val="28"/>
        </w:rPr>
      </w:pPr>
      <w:r>
        <w:rPr>
          <w:rFonts w:hint="eastAsia"/>
          <w:b/>
          <w:bCs/>
          <w:sz w:val="28"/>
          <w:szCs w:val="28"/>
        </w:rPr>
        <w:t>8.5. 报 价</w:t>
      </w:r>
    </w:p>
    <w:p>
      <w:pPr>
        <w:adjustRightInd w:val="0"/>
        <w:snapToGrid w:val="0"/>
        <w:spacing w:before="62" w:beforeLines="20" w:after="62" w:afterLines="20" w:line="360" w:lineRule="auto"/>
        <w:ind w:firstLine="420" w:firstLineChars="150"/>
        <w:rPr>
          <w:sz w:val="28"/>
          <w:szCs w:val="28"/>
        </w:rPr>
      </w:pPr>
      <w:r>
        <w:rPr>
          <w:rFonts w:hint="eastAsia"/>
          <w:sz w:val="28"/>
          <w:szCs w:val="28"/>
        </w:rPr>
        <w:t>8.5.1 投标单位可根据企业具体情况在合理范围内自主考虑优惠报价，但不得低于企业成本；本项目采取</w:t>
      </w:r>
      <w:r>
        <w:rPr>
          <w:rFonts w:hint="eastAsia"/>
          <w:b/>
          <w:color w:val="FF0000"/>
          <w:sz w:val="28"/>
          <w:szCs w:val="28"/>
        </w:rPr>
        <w:t>固定综合单价合同</w:t>
      </w:r>
      <w:r>
        <w:rPr>
          <w:rFonts w:hint="eastAsia"/>
          <w:sz w:val="28"/>
          <w:szCs w:val="28"/>
        </w:rPr>
        <w:t>，并把相应单价填写在</w:t>
      </w:r>
      <w:r>
        <w:rPr>
          <w:rFonts w:hint="eastAsia"/>
          <w:b/>
          <w:color w:val="FF0000"/>
          <w:sz w:val="28"/>
          <w:szCs w:val="28"/>
        </w:rPr>
        <w:t>项目报价明细表中（见附表十）</w:t>
      </w:r>
      <w:r>
        <w:rPr>
          <w:rFonts w:hint="eastAsia"/>
          <w:b/>
          <w:sz w:val="28"/>
          <w:szCs w:val="28"/>
        </w:rPr>
        <w:t>，</w:t>
      </w:r>
      <w:r>
        <w:rPr>
          <w:rFonts w:hint="eastAsia"/>
          <w:sz w:val="28"/>
          <w:szCs w:val="28"/>
        </w:rPr>
        <w:t>投标单位要充分了解</w:t>
      </w:r>
      <w:r>
        <w:rPr>
          <w:rFonts w:hint="eastAsia"/>
          <w:bCs/>
          <w:sz w:val="28"/>
          <w:szCs w:val="28"/>
        </w:rPr>
        <w:t>项目现场、技术说明、标准图及招标文件要求内容报价。</w:t>
      </w:r>
      <w:r>
        <w:rPr>
          <w:rFonts w:hint="eastAsia"/>
          <w:sz w:val="28"/>
          <w:szCs w:val="28"/>
        </w:rPr>
        <w:t>预计可能发生的各项费用。</w:t>
      </w:r>
    </w:p>
    <w:p>
      <w:pPr>
        <w:adjustRightInd w:val="0"/>
        <w:snapToGrid w:val="0"/>
        <w:spacing w:before="62" w:beforeLines="20" w:after="62" w:afterLines="20" w:line="360" w:lineRule="auto"/>
        <w:ind w:firstLine="420" w:firstLineChars="150"/>
        <w:rPr>
          <w:sz w:val="28"/>
          <w:szCs w:val="28"/>
        </w:rPr>
      </w:pPr>
      <w:r>
        <w:rPr>
          <w:rFonts w:hint="eastAsia"/>
          <w:sz w:val="28"/>
          <w:szCs w:val="28"/>
        </w:rPr>
        <w:t>8.5.2对投标单位因考虑不周而造成预算中的缺项、漏项、少算、漏算或因填写错误而造成的损失均由投标单位承担，招标单位不予调整。</w:t>
      </w:r>
    </w:p>
    <w:p>
      <w:pPr>
        <w:adjustRightInd w:val="0"/>
        <w:snapToGrid w:val="0"/>
        <w:spacing w:before="62" w:beforeLines="20" w:after="62" w:afterLines="20" w:line="360" w:lineRule="auto"/>
        <w:ind w:firstLine="420" w:firstLineChars="150"/>
        <w:rPr>
          <w:b/>
          <w:color w:val="FF0000"/>
          <w:sz w:val="28"/>
          <w:szCs w:val="28"/>
        </w:rPr>
      </w:pPr>
      <w:r>
        <w:rPr>
          <w:rFonts w:hint="eastAsia"/>
          <w:sz w:val="28"/>
          <w:szCs w:val="28"/>
        </w:rPr>
        <w:t>8.5.3</w:t>
      </w:r>
      <w:r>
        <w:rPr>
          <w:rFonts w:hint="eastAsia"/>
          <w:b/>
          <w:color w:val="FF0000"/>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8.5.4</w:t>
      </w:r>
      <w:r>
        <w:rPr>
          <w:rFonts w:hint="eastAsia"/>
          <w:color w:val="FF0000"/>
          <w:sz w:val="28"/>
          <w:szCs w:val="28"/>
        </w:rPr>
        <w:t>招标单位负责提供相关的制作需求标准资料，其余均由中标人负责，并承担相应费用。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8.5.5</w:t>
      </w:r>
      <w:r>
        <w:rPr>
          <w:rFonts w:hint="eastAsia"/>
          <w:sz w:val="28"/>
          <w:szCs w:val="28"/>
        </w:rPr>
        <w:t>投标文件的大写金额和小写金额不一致的，以大写金额为准；总价金额与按单价汇总金额不一致的，以单价金额计算结果为准；单价金额小数点有明显错位的，应以总价为准，并修改单价。</w:t>
      </w:r>
    </w:p>
    <w:p>
      <w:pPr>
        <w:spacing w:before="62" w:beforeLines="20" w:after="62" w:afterLines="20" w:line="360" w:lineRule="auto"/>
        <w:ind w:firstLine="420" w:firstLineChars="150"/>
        <w:rPr>
          <w:bCs/>
          <w:sz w:val="28"/>
          <w:szCs w:val="28"/>
        </w:rPr>
      </w:pPr>
      <w:r>
        <w:rPr>
          <w:rFonts w:hint="eastAsia"/>
          <w:bCs/>
          <w:sz w:val="28"/>
          <w:szCs w:val="28"/>
        </w:rPr>
        <w:t>8.5.6本项目中标原则：</w:t>
      </w:r>
      <w:r>
        <w:rPr>
          <w:rFonts w:hint="eastAsia"/>
          <w:bCs/>
          <w:color w:val="FF0000"/>
          <w:sz w:val="28"/>
          <w:szCs w:val="28"/>
        </w:rPr>
        <w:t>综合评标，合理低价。</w:t>
      </w:r>
    </w:p>
    <w:p>
      <w:pPr>
        <w:adjustRightInd w:val="0"/>
        <w:spacing w:before="62" w:beforeLines="20" w:after="62" w:afterLines="20" w:line="360" w:lineRule="auto"/>
        <w:rPr>
          <w:b/>
          <w:bCs/>
          <w:sz w:val="28"/>
          <w:szCs w:val="28"/>
        </w:rPr>
      </w:pPr>
      <w:r>
        <w:rPr>
          <w:rFonts w:hint="eastAsia"/>
          <w:b/>
          <w:bCs/>
          <w:sz w:val="28"/>
          <w:szCs w:val="28"/>
        </w:rPr>
        <w:t>9．投标文件的份数和签署</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9.1 投标单位按前附表规定编写投标文件，并在投标文件封面上明确标明标段“正本”或“副本”字样；投标文件正本与副本不一致时，以正本为准。</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9.2 投标文件不应有涂改、增删之处。如有修改须在修改、增删处加盖参加单位的企业印章、企业法定代表人印章。</w:t>
      </w:r>
    </w:p>
    <w:p>
      <w:pPr>
        <w:pStyle w:val="10"/>
        <w:tabs>
          <w:tab w:val="left" w:pos="1620"/>
        </w:tabs>
        <w:spacing w:before="62" w:beforeLines="20" w:after="62" w:afterLines="20"/>
        <w:ind w:firstLine="420" w:firstLineChars="150"/>
        <w:rPr>
          <w:sz w:val="28"/>
          <w:szCs w:val="28"/>
        </w:rPr>
      </w:pPr>
      <w:r>
        <w:rPr>
          <w:rFonts w:hint="eastAsia"/>
          <w:sz w:val="28"/>
          <w:szCs w:val="28"/>
        </w:rPr>
        <w:t>9.3 投标文件正本与副本所有的内容，要求用机器打印，不得手写。并须加盖投标单位的企业印章、企业法定代表人印章。</w:t>
      </w:r>
    </w:p>
    <w:p>
      <w:pPr>
        <w:spacing w:before="62" w:beforeLines="20" w:after="62" w:afterLines="20" w:line="360" w:lineRule="auto"/>
        <w:ind w:firstLine="420" w:firstLineChars="150"/>
        <w:rPr>
          <w:sz w:val="28"/>
          <w:szCs w:val="28"/>
        </w:rPr>
      </w:pPr>
      <w:r>
        <w:rPr>
          <w:rFonts w:hint="eastAsia"/>
          <w:sz w:val="28"/>
          <w:szCs w:val="28"/>
        </w:rPr>
        <w:t>9.4如果投标单位未按上述规定进行密封和标记，招标单位将不承担由此造成的对投标文件提前拆封的责任。</w:t>
      </w:r>
    </w:p>
    <w:p>
      <w:pPr>
        <w:pStyle w:val="12"/>
        <w:adjustRightInd w:val="0"/>
        <w:spacing w:before="62" w:beforeLines="20" w:after="62" w:afterLines="20" w:line="360" w:lineRule="auto"/>
        <w:rPr>
          <w:b/>
          <w:sz w:val="28"/>
          <w:szCs w:val="28"/>
        </w:rPr>
      </w:pPr>
      <w:r>
        <w:rPr>
          <w:rFonts w:hint="eastAsia"/>
          <w:b/>
          <w:sz w:val="28"/>
          <w:szCs w:val="28"/>
        </w:rPr>
        <w:t>10. 投标文件的递交</w:t>
      </w:r>
    </w:p>
    <w:p>
      <w:pPr>
        <w:adjustRightInd w:val="0"/>
        <w:spacing w:before="62" w:beforeLines="20" w:after="62" w:afterLines="20" w:line="360" w:lineRule="auto"/>
        <w:ind w:firstLine="413" w:firstLineChars="147"/>
        <w:rPr>
          <w:b/>
          <w:bCs/>
          <w:sz w:val="28"/>
          <w:szCs w:val="28"/>
        </w:rPr>
      </w:pPr>
      <w:r>
        <w:rPr>
          <w:rFonts w:hint="eastAsia"/>
          <w:b/>
          <w:bCs/>
          <w:sz w:val="28"/>
          <w:szCs w:val="28"/>
        </w:rPr>
        <w:t>10.1 投标文件的密封与标记</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10.1.1投标文件的密封：要求将正本和所有副本及</w:t>
      </w:r>
      <w:r>
        <w:rPr>
          <w:rFonts w:hint="eastAsia"/>
          <w:color w:val="000000"/>
          <w:sz w:val="28"/>
          <w:szCs w:val="28"/>
        </w:rPr>
        <w:t>电子版密</w:t>
      </w:r>
      <w:r>
        <w:rPr>
          <w:rFonts w:hint="eastAsia"/>
          <w:sz w:val="28"/>
          <w:szCs w:val="28"/>
        </w:rPr>
        <w:t>封在一个包装内，投标文件上标明“正本”、“副本”字样。</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10.1.2投标单位应在包封上写明项目名称、投标单位名称及投标日期，密封线上须加盖投标单位的企业印章、企业法定代表人印章。</w:t>
      </w:r>
    </w:p>
    <w:p>
      <w:pPr>
        <w:tabs>
          <w:tab w:val="left" w:pos="1080"/>
        </w:tabs>
        <w:adjustRightInd w:val="0"/>
        <w:spacing w:before="62" w:beforeLines="20" w:after="62" w:afterLines="20" w:line="360" w:lineRule="auto"/>
        <w:ind w:firstLine="413" w:firstLineChars="147"/>
        <w:rPr>
          <w:b/>
          <w:bCs/>
          <w:sz w:val="28"/>
          <w:szCs w:val="28"/>
        </w:rPr>
      </w:pPr>
      <w:r>
        <w:rPr>
          <w:rFonts w:hint="eastAsia"/>
          <w:b/>
          <w:bCs/>
          <w:sz w:val="28"/>
          <w:szCs w:val="28"/>
        </w:rPr>
        <w:t>10.2 截止期</w:t>
      </w:r>
    </w:p>
    <w:p>
      <w:pPr>
        <w:spacing w:before="62" w:beforeLines="20" w:after="62" w:afterLines="20" w:line="360" w:lineRule="auto"/>
        <w:ind w:firstLine="420" w:firstLineChars="150"/>
        <w:rPr>
          <w:sz w:val="28"/>
          <w:szCs w:val="28"/>
        </w:rPr>
      </w:pPr>
      <w:r>
        <w:rPr>
          <w:rFonts w:hint="eastAsia"/>
          <w:sz w:val="28"/>
          <w:szCs w:val="28"/>
        </w:rPr>
        <w:t>10.2.1投标单位应在前附表所规定的投标文件递交截止时间之前将投标文件送达。迟到的投标文件为无效投标文件,将被拒收。</w:t>
      </w:r>
    </w:p>
    <w:p>
      <w:pPr>
        <w:spacing w:before="62" w:beforeLines="20" w:after="62" w:afterLines="20" w:line="360" w:lineRule="auto"/>
        <w:ind w:firstLine="420" w:firstLineChars="150"/>
        <w:rPr>
          <w:sz w:val="28"/>
          <w:szCs w:val="28"/>
        </w:rPr>
      </w:pPr>
      <w:r>
        <w:rPr>
          <w:rFonts w:hint="eastAsia"/>
          <w:sz w:val="28"/>
          <w:szCs w:val="28"/>
        </w:rPr>
        <w:t>10.2.2投标人在投标截止时间前，可以对所提交的投标文件进行修改或者撤回，并书面通知招标单位。修改的内容和撤回通知应当按本招标文件要求签署、盖章、密封，并作为投标文件的组成部分。</w:t>
      </w:r>
    </w:p>
    <w:p>
      <w:pPr>
        <w:spacing w:before="62" w:beforeLines="20" w:after="62" w:afterLines="20" w:line="360" w:lineRule="auto"/>
        <w:ind w:firstLine="420" w:firstLineChars="150"/>
        <w:rPr>
          <w:sz w:val="28"/>
          <w:szCs w:val="28"/>
        </w:rPr>
      </w:pPr>
      <w:r>
        <w:rPr>
          <w:rFonts w:hint="eastAsia"/>
          <w:sz w:val="28"/>
          <w:szCs w:val="28"/>
        </w:rPr>
        <w:t>10.2.3投标人在投标截止期后不得修改、撤回投标文件。投标人在投标截止期后修改投标文件的，其投标被拒绝。</w:t>
      </w:r>
    </w:p>
    <w:p>
      <w:pPr>
        <w:tabs>
          <w:tab w:val="left" w:pos="1440"/>
        </w:tabs>
        <w:adjustRightInd w:val="0"/>
        <w:spacing w:before="62" w:beforeLines="20" w:after="62" w:afterLines="20" w:line="360" w:lineRule="auto"/>
        <w:rPr>
          <w:b/>
          <w:sz w:val="28"/>
          <w:szCs w:val="28"/>
        </w:rPr>
      </w:pPr>
      <w:r>
        <w:rPr>
          <w:rFonts w:hint="eastAsia"/>
          <w:b/>
          <w:sz w:val="28"/>
          <w:szCs w:val="28"/>
        </w:rPr>
        <w:t>11. 其 他</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11.1</w:t>
      </w:r>
      <w:r>
        <w:rPr>
          <w:rFonts w:hint="eastAsia"/>
          <w:sz w:val="28"/>
          <w:szCs w:val="28"/>
        </w:rPr>
        <w:t xml:space="preserve"> 招标单位将根据投标单位所报质量、价格综合确定中标方，未中标方招标单位不另行通知和解释原因。所报投标资料不予退还。</w:t>
      </w:r>
    </w:p>
    <w:p>
      <w:pPr>
        <w:adjustRightInd w:val="0"/>
        <w:snapToGrid w:val="0"/>
        <w:spacing w:before="62" w:beforeLines="20" w:after="62" w:afterLines="20" w:line="360" w:lineRule="auto"/>
        <w:ind w:firstLine="420" w:firstLineChars="150"/>
        <w:rPr>
          <w:sz w:val="28"/>
          <w:szCs w:val="28"/>
        </w:rPr>
      </w:pPr>
      <w:r>
        <w:rPr>
          <w:rFonts w:hint="eastAsia"/>
          <w:sz w:val="28"/>
          <w:szCs w:val="28"/>
        </w:rPr>
        <w:t>11.2凡参与本次招标的投标单位均视为同意本《招标文件》的所有条款，并对所有条款予以响应，否则招标单位将有权按废标处理。</w:t>
      </w:r>
    </w:p>
    <w:p>
      <w:pPr>
        <w:adjustRightInd w:val="0"/>
        <w:snapToGrid w:val="0"/>
        <w:spacing w:before="62" w:beforeLines="20" w:after="62" w:afterLines="20" w:line="360" w:lineRule="auto"/>
        <w:ind w:firstLine="420" w:firstLineChars="150"/>
        <w:rPr>
          <w:sz w:val="28"/>
          <w:szCs w:val="28"/>
        </w:rPr>
      </w:pPr>
      <w:r>
        <w:rPr>
          <w:rFonts w:hint="eastAsia"/>
          <w:sz w:val="28"/>
          <w:szCs w:val="28"/>
        </w:rPr>
        <w:t>11.3各投标单位应严格按照招标文件的要求制作标书（如附表格式等），否则将视为不响应此次招标，招标单位均可取消其中标资格。</w:t>
      </w:r>
    </w:p>
    <w:p>
      <w:pPr>
        <w:adjustRightInd w:val="0"/>
        <w:spacing w:before="62" w:beforeLines="20" w:after="62" w:afterLines="20" w:line="360" w:lineRule="auto"/>
        <w:ind w:firstLine="420" w:firstLineChars="150"/>
        <w:rPr>
          <w:sz w:val="28"/>
          <w:szCs w:val="28"/>
        </w:rPr>
      </w:pPr>
      <w:r>
        <w:rPr>
          <w:rFonts w:hint="eastAsia"/>
          <w:sz w:val="28"/>
          <w:szCs w:val="28"/>
        </w:rPr>
        <w:t>11.4廉洁与激励</w:t>
      </w:r>
    </w:p>
    <w:p>
      <w:pPr>
        <w:adjustRightInd w:val="0"/>
        <w:spacing w:before="62" w:beforeLines="20" w:after="62" w:afterLines="20" w:line="360" w:lineRule="auto"/>
        <w:ind w:firstLine="420" w:firstLineChars="150"/>
        <w:rPr>
          <w:sz w:val="28"/>
          <w:szCs w:val="28"/>
        </w:rPr>
      </w:pPr>
      <w:r>
        <w:rPr>
          <w:rFonts w:hint="eastAsia"/>
          <w:sz w:val="28"/>
          <w:szCs w:val="28"/>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pPr>
        <w:adjustRightInd w:val="0"/>
        <w:spacing w:before="62" w:beforeLines="20" w:after="62" w:afterLines="20" w:line="360" w:lineRule="auto"/>
        <w:ind w:firstLine="420" w:firstLineChars="150"/>
        <w:rPr>
          <w:color w:val="FF0000"/>
          <w:sz w:val="28"/>
          <w:szCs w:val="28"/>
        </w:rPr>
      </w:pPr>
      <w:r>
        <w:rPr>
          <w:rFonts w:hint="eastAsia"/>
          <w:color w:val="000000"/>
          <w:sz w:val="28"/>
          <w:szCs w:val="28"/>
        </w:rPr>
        <w:t>11.4.2无论在合同签署前、签署中，还是签署后履行过程中的任何一个阶段，中标方或其任一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属根本违约，构成招标单位直接解除合同的权利。同时，中标方若遇招标单位的工作人员要求给予某种好处甚至是暗示时，即可以向招标单位的</w:t>
      </w:r>
      <w:r>
        <w:rPr>
          <w:rFonts w:hint="eastAsia"/>
          <w:b/>
          <w:bCs/>
          <w:color w:val="FF0000"/>
          <w:sz w:val="28"/>
          <w:szCs w:val="28"/>
        </w:rPr>
        <w:t>廉政部门</w:t>
      </w:r>
      <w:r>
        <w:rPr>
          <w:rFonts w:hint="eastAsia"/>
          <w:color w:val="FF0000"/>
          <w:sz w:val="28"/>
          <w:szCs w:val="28"/>
        </w:rPr>
        <w:t>反映，廉政邮箱：</w:t>
      </w:r>
      <w:r>
        <w:rPr>
          <w:sz w:val="24"/>
          <w:szCs w:val="24"/>
        </w:rPr>
        <w:t>jianchajubao@cdlsym.com</w:t>
      </w:r>
      <w:r>
        <w:rPr>
          <w:rFonts w:hint="eastAsia"/>
          <w:color w:val="FF0000"/>
          <w:sz w:val="28"/>
          <w:szCs w:val="28"/>
        </w:rPr>
        <w:t>，招标单位保证此等检举不会影响正常的合同履行。</w:t>
      </w:r>
    </w:p>
    <w:p>
      <w:pPr>
        <w:tabs>
          <w:tab w:val="left" w:pos="3780"/>
        </w:tabs>
        <w:spacing w:before="62" w:beforeLines="20" w:after="62" w:afterLines="20" w:line="360" w:lineRule="auto"/>
        <w:ind w:firstLine="420" w:firstLineChars="150"/>
        <w:rPr>
          <w:color w:val="000000"/>
          <w:sz w:val="28"/>
          <w:szCs w:val="28"/>
        </w:rPr>
      </w:pPr>
      <w:r>
        <w:rPr>
          <w:rFonts w:hint="eastAsia"/>
          <w:color w:val="000000"/>
          <w:sz w:val="28"/>
          <w:szCs w:val="28"/>
        </w:rPr>
        <w:t>11.4.3招标单位会首单/首月、每季度、年度对中标人进行KPI考核评级，评级将影响中标人下个月度、季度、年度承接项目数量，考核不合格将予以淘汰。</w:t>
      </w:r>
    </w:p>
    <w:p>
      <w:pPr>
        <w:tabs>
          <w:tab w:val="left" w:pos="1080"/>
        </w:tabs>
        <w:adjustRightInd w:val="0"/>
        <w:snapToGrid w:val="0"/>
        <w:spacing w:before="62" w:beforeLines="20" w:after="62" w:afterLines="20" w:line="360" w:lineRule="auto"/>
        <w:ind w:firstLine="420" w:firstLineChars="150"/>
        <w:jc w:val="left"/>
        <w:rPr>
          <w:bCs/>
          <w:sz w:val="28"/>
          <w:szCs w:val="28"/>
        </w:rPr>
      </w:pPr>
      <w:r>
        <w:rPr>
          <w:rFonts w:hint="eastAsia"/>
          <w:bCs/>
          <w:sz w:val="28"/>
          <w:szCs w:val="28"/>
        </w:rPr>
        <w:t>11.4.4投标单位未能实质性响应招标单位意图者，其投标将被视为废标，但招标单位仍欢迎投标单位参加日后的招标活动。</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11.6</w:t>
      </w:r>
      <w:r>
        <w:rPr>
          <w:rFonts w:hint="eastAsia"/>
          <w:b/>
          <w:bCs/>
          <w:sz w:val="28"/>
          <w:szCs w:val="28"/>
        </w:rPr>
        <w:t xml:space="preserve"> </w:t>
      </w:r>
      <w:r>
        <w:rPr>
          <w:rFonts w:hint="eastAsia"/>
          <w:sz w:val="28"/>
          <w:szCs w:val="28"/>
        </w:rPr>
        <w:t>未尽事宜，按国家及招标单位所在地的省、市有关规定执行。</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11.7</w:t>
      </w:r>
      <w:r>
        <w:rPr>
          <w:rFonts w:hint="eastAsia"/>
          <w:sz w:val="28"/>
          <w:szCs w:val="28"/>
        </w:rPr>
        <w:t>本招标文件的最终解释权归属招标单位。</w:t>
      </w:r>
    </w:p>
    <w:p>
      <w:pPr>
        <w:pStyle w:val="10"/>
      </w:pPr>
    </w:p>
    <w:p>
      <w:pPr>
        <w:pStyle w:val="21"/>
      </w:pPr>
      <w:r>
        <w:rPr>
          <w:rFonts w:hint="eastAsia"/>
        </w:rPr>
        <w:t>第四章： 技术部分</w:t>
      </w:r>
    </w:p>
    <w:p>
      <w:pPr>
        <w:pStyle w:val="10"/>
      </w:pPr>
    </w:p>
    <w:p>
      <w:pPr>
        <w:pStyle w:val="5"/>
      </w:pPr>
      <w:r>
        <w:rPr>
          <w:rFonts w:hint="eastAsia"/>
          <w:color w:val="000000"/>
          <w:szCs w:val="28"/>
        </w:rPr>
        <w:t>4.1</w:t>
      </w:r>
      <w:bookmarkStart w:id="52" w:name="_Toc27066"/>
      <w:r>
        <w:rPr>
          <w:rFonts w:hint="eastAsia"/>
          <w:color w:val="000000"/>
          <w:szCs w:val="28"/>
        </w:rPr>
        <w:t>项目概述</w:t>
      </w:r>
      <w:bookmarkEnd w:id="52"/>
    </w:p>
    <w:p>
      <w:pPr>
        <w:pStyle w:val="6"/>
      </w:pPr>
      <w:bookmarkStart w:id="53" w:name="_Toc15681"/>
      <w:r>
        <w:rPr>
          <w:rFonts w:hint="eastAsia"/>
        </w:rPr>
        <w:t>4.1.1项目名称</w:t>
      </w:r>
      <w:bookmarkEnd w:id="53"/>
    </w:p>
    <w:p>
      <w:pPr>
        <w:pStyle w:val="35"/>
        <w:ind w:firstLine="496"/>
        <w:rPr>
          <w:color w:val="auto"/>
          <w:spacing w:val="4"/>
          <w:szCs w:val="24"/>
        </w:rPr>
      </w:pPr>
      <w:r>
        <w:rPr>
          <w:rFonts w:hint="eastAsia"/>
          <w:color w:val="auto"/>
          <w:spacing w:val="4"/>
          <w:szCs w:val="24"/>
        </w:rPr>
        <w:t>2023年零食有鸣托管云项目</w:t>
      </w:r>
    </w:p>
    <w:p>
      <w:pPr>
        <w:pStyle w:val="6"/>
        <w:rPr>
          <w:b w:val="0"/>
          <w:bCs w:val="0"/>
          <w:sz w:val="24"/>
          <w:szCs w:val="28"/>
        </w:rPr>
      </w:pPr>
      <w:bookmarkStart w:id="54" w:name="_Toc18223"/>
      <w:r>
        <w:rPr>
          <w:rFonts w:hint="eastAsia"/>
        </w:rPr>
        <w:t>4.1.2项目背景</w:t>
      </w:r>
      <w:bookmarkEnd w:id="54"/>
    </w:p>
    <w:p>
      <w:pPr>
        <w:pStyle w:val="19"/>
        <w:ind w:firstLine="496"/>
        <w:rPr>
          <w:sz w:val="24"/>
          <w:szCs w:val="24"/>
        </w:rPr>
      </w:pPr>
      <w:bookmarkStart w:id="55" w:name="_Toc10171"/>
      <w:r>
        <w:rPr>
          <w:rFonts w:hint="eastAsia"/>
          <w:sz w:val="24"/>
          <w:szCs w:val="24"/>
        </w:rPr>
        <w:t>本次招标的托管云是为了满足公司快速发展的业务需求，提高企业管理水平和效率，实现信息化管理。公司业务涉及的多个信息化系统，需要集成化的托管云作为基础设施来承载运行。</w:t>
      </w:r>
    </w:p>
    <w:p>
      <w:pPr>
        <w:pStyle w:val="19"/>
        <w:ind w:firstLine="496"/>
        <w:rPr>
          <w:sz w:val="24"/>
          <w:szCs w:val="24"/>
        </w:rPr>
      </w:pPr>
      <w:r>
        <w:rPr>
          <w:rFonts w:hint="eastAsia"/>
          <w:sz w:val="24"/>
          <w:szCs w:val="24"/>
        </w:rPr>
        <w:t>此次招标的托管云需要具备高度的可定制性和扩展性，以适应公司未来的业务发展和变化。同时，系统需要满足安全、稳定、高效、易用等方面的要求。</w:t>
      </w:r>
    </w:p>
    <w:p>
      <w:pPr>
        <w:pStyle w:val="19"/>
        <w:ind w:firstLine="496"/>
        <w:rPr>
          <w:sz w:val="24"/>
          <w:szCs w:val="24"/>
        </w:rPr>
      </w:pPr>
      <w:r>
        <w:rPr>
          <w:rFonts w:hint="eastAsia"/>
          <w:sz w:val="24"/>
          <w:szCs w:val="24"/>
        </w:rPr>
        <w:t>本次招标的托管云需要具备较高的技术实力和维护管理能力，能够在规定的时间内按照要求进行技术响应。</w:t>
      </w:r>
    </w:p>
    <w:p>
      <w:pPr>
        <w:pStyle w:val="6"/>
      </w:pPr>
      <w:r>
        <w:rPr>
          <w:rFonts w:hint="eastAsia"/>
        </w:rPr>
        <w:t>4.1.3项目目标</w:t>
      </w:r>
      <w:bookmarkEnd w:id="55"/>
    </w:p>
    <w:p>
      <w:pPr>
        <w:pStyle w:val="19"/>
        <w:ind w:firstLine="496"/>
        <w:rPr>
          <w:sz w:val="24"/>
          <w:szCs w:val="24"/>
        </w:rPr>
      </w:pPr>
      <w:bookmarkStart w:id="56" w:name="_Toc30388"/>
      <w:r>
        <w:rPr>
          <w:rFonts w:hint="eastAsia"/>
          <w:sz w:val="24"/>
          <w:szCs w:val="24"/>
        </w:rPr>
        <w:t>本次招标的托管云旨在建设公司私有化冗余数据中心。为公司的数字化转型提供强安全、高可用、高性能的IT基础底座。具体目标包括：</w:t>
      </w:r>
    </w:p>
    <w:p>
      <w:pPr>
        <w:pStyle w:val="19"/>
        <w:ind w:firstLine="496"/>
        <w:rPr>
          <w:sz w:val="24"/>
          <w:szCs w:val="24"/>
        </w:rPr>
      </w:pPr>
      <w:r>
        <w:rPr>
          <w:rFonts w:hint="eastAsia"/>
          <w:sz w:val="24"/>
          <w:szCs w:val="24"/>
        </w:rPr>
        <w:t>提高组织的效率和生产力：使用托管云可以释放公司的 IT 资源，使它们能够专注于其他业务任务。托管云可以提供灵活的云计算服务，使组织能够更快地开发和部署应用程序，从而提高公司的效率和生产力。</w:t>
      </w:r>
    </w:p>
    <w:p>
      <w:pPr>
        <w:pStyle w:val="19"/>
        <w:ind w:firstLine="496"/>
        <w:rPr>
          <w:sz w:val="24"/>
          <w:szCs w:val="24"/>
        </w:rPr>
      </w:pPr>
      <w:r>
        <w:rPr>
          <w:rFonts w:hint="eastAsia"/>
          <w:sz w:val="24"/>
          <w:szCs w:val="24"/>
        </w:rPr>
        <w:t>增强数据安全性：托管云可以提供安全的云计算环境，保护组织的数据免受外部威胁和错误操作。托管云可以使用多层安全措施来保护组织的数据，例如加密、访问控制和监控。</w:t>
      </w:r>
    </w:p>
    <w:p>
      <w:pPr>
        <w:pStyle w:val="19"/>
        <w:ind w:firstLine="496"/>
        <w:rPr>
          <w:sz w:val="24"/>
          <w:szCs w:val="24"/>
        </w:rPr>
      </w:pPr>
      <w:r>
        <w:rPr>
          <w:rFonts w:hint="eastAsia"/>
          <w:sz w:val="24"/>
          <w:szCs w:val="24"/>
        </w:rPr>
        <w:t>提高 IT 的灵活性和可扩展性：使用托管云可以使 IT 设施更加灵活和可扩展。组织可以按需分配云计算资源，从而快速适应业务需求的变化。此外，托管云还可以提供弹性，即当需要增加或减少云计算资源时，可以轻松地进行调整。</w:t>
      </w:r>
    </w:p>
    <w:p>
      <w:pPr>
        <w:pStyle w:val="19"/>
        <w:ind w:firstLine="496"/>
        <w:rPr>
          <w:sz w:val="24"/>
          <w:szCs w:val="24"/>
        </w:rPr>
      </w:pPr>
      <w:r>
        <w:rPr>
          <w:rFonts w:hint="eastAsia"/>
          <w:sz w:val="24"/>
          <w:szCs w:val="24"/>
        </w:rPr>
        <w:t>降低 IT 成本：使用托管云可以降低成本，不需要购买和维护自己的硬件和软件。托管云可以提供即取即用的云计算资源，避免了购买和维护基础设施的成本。</w:t>
      </w:r>
    </w:p>
    <w:p>
      <w:pPr>
        <w:pStyle w:val="19"/>
        <w:ind w:firstLine="496"/>
        <w:rPr>
          <w:sz w:val="24"/>
          <w:szCs w:val="24"/>
        </w:rPr>
      </w:pPr>
      <w:r>
        <w:rPr>
          <w:rFonts w:hint="eastAsia"/>
          <w:sz w:val="24"/>
          <w:szCs w:val="24"/>
        </w:rPr>
        <w:t>提高业务可持续性：托管云可以帮助公司各个业务系统实现业务可持续性，使用统一的云管平台可以更有效地管理 IT 资源。</w:t>
      </w:r>
    </w:p>
    <w:p>
      <w:pPr>
        <w:pStyle w:val="6"/>
        <w:rPr>
          <w:sz w:val="32"/>
          <w:szCs w:val="48"/>
        </w:rPr>
      </w:pPr>
      <w:r>
        <w:rPr>
          <w:rFonts w:hint="eastAsia"/>
          <w:sz w:val="32"/>
          <w:szCs w:val="48"/>
        </w:rPr>
        <w:t>4.1.4项目范围与内容</w:t>
      </w:r>
      <w:bookmarkEnd w:id="56"/>
    </w:p>
    <w:p>
      <w:pPr>
        <w:pStyle w:val="7"/>
        <w:numPr>
          <w:ilvl w:val="0"/>
          <w:numId w:val="0"/>
        </w:numPr>
        <w:ind w:left="284"/>
        <w:rPr>
          <w:sz w:val="24"/>
          <w:szCs w:val="24"/>
        </w:rPr>
      </w:pPr>
      <w:bookmarkStart w:id="57" w:name="_Toc18273"/>
      <w:r>
        <w:rPr>
          <w:rFonts w:hint="eastAsia"/>
          <w:sz w:val="24"/>
          <w:szCs w:val="24"/>
        </w:rPr>
        <w:t>4.1.4.1项目建设组织范围说明</w:t>
      </w:r>
      <w:bookmarkEnd w:id="57"/>
    </w:p>
    <w:p>
      <w:pPr>
        <w:pStyle w:val="35"/>
        <w:ind w:firstLine="559" w:firstLineChars="233"/>
      </w:pPr>
      <w:r>
        <w:rPr>
          <w:rFonts w:hint="eastAsia"/>
          <w:color w:val="auto"/>
        </w:rPr>
        <w:t>满足公司各个业务系统对基础计算资源使用需求。</w:t>
      </w:r>
    </w:p>
    <w:p>
      <w:pPr>
        <w:pStyle w:val="7"/>
        <w:numPr>
          <w:ilvl w:val="0"/>
          <w:numId w:val="0"/>
        </w:numPr>
        <w:ind w:left="284"/>
        <w:rPr>
          <w:sz w:val="24"/>
          <w:szCs w:val="24"/>
        </w:rPr>
      </w:pPr>
      <w:bookmarkStart w:id="58" w:name="_Toc11841"/>
      <w:r>
        <w:rPr>
          <w:rFonts w:hint="eastAsia"/>
          <w:sz w:val="24"/>
          <w:szCs w:val="24"/>
        </w:rPr>
        <w:t>4.1.4.2项目建设内容说明</w:t>
      </w:r>
      <w:bookmarkEnd w:id="58"/>
    </w:p>
    <w:p>
      <w:pPr>
        <w:ind w:firstLine="420"/>
        <w:rPr>
          <w:sz w:val="24"/>
          <w:szCs w:val="28"/>
        </w:rPr>
      </w:pPr>
      <w:r>
        <w:rPr>
          <w:rFonts w:hint="eastAsia"/>
          <w:sz w:val="24"/>
          <w:szCs w:val="28"/>
        </w:rPr>
        <w:t>1. 基础设施建设：包括服务器、网络、安全等方面的配置和管理。</w:t>
      </w:r>
    </w:p>
    <w:p>
      <w:pPr>
        <w:ind w:firstLine="420"/>
        <w:rPr>
          <w:sz w:val="24"/>
          <w:szCs w:val="28"/>
        </w:rPr>
      </w:pPr>
      <w:r>
        <w:rPr>
          <w:rFonts w:hint="eastAsia"/>
          <w:sz w:val="24"/>
          <w:szCs w:val="28"/>
        </w:rPr>
        <w:t>2. 数据管理：需要对数据进行存储、备份和管理。在数据管理方面，需要选择合适的数据存储方案，如对象存储、块存储等，并制定数据备份策略，确保数据的安全性和可靠性。</w:t>
      </w:r>
    </w:p>
    <w:p>
      <w:pPr>
        <w:ind w:firstLine="420"/>
        <w:rPr>
          <w:sz w:val="24"/>
          <w:szCs w:val="28"/>
        </w:rPr>
      </w:pPr>
      <w:r>
        <w:rPr>
          <w:rFonts w:hint="eastAsia"/>
          <w:sz w:val="24"/>
          <w:szCs w:val="28"/>
        </w:rPr>
        <w:t>3. 应用程序管理：托管云项目建设还需要考虑应用程序的部署和管理。在应用程序管理方面，需要选择合适的应用程序管理平台，并制定应用程序部署和管理策略。</w:t>
      </w:r>
    </w:p>
    <w:p>
      <w:pPr>
        <w:ind w:firstLine="420"/>
      </w:pPr>
      <w:r>
        <w:rPr>
          <w:rFonts w:hint="eastAsia"/>
          <w:sz w:val="24"/>
          <w:szCs w:val="28"/>
        </w:rPr>
        <w:t>4. 安全管理：需要制定安全策略和措施，如访问控制、加密、防火墙等，确保数据的安全和保密性。</w:t>
      </w:r>
    </w:p>
    <w:p>
      <w:pPr>
        <w:ind w:firstLine="420"/>
        <w:rPr>
          <w:sz w:val="24"/>
          <w:szCs w:val="28"/>
        </w:rPr>
      </w:pPr>
      <w:r>
        <w:rPr>
          <w:rFonts w:hint="eastAsia"/>
          <w:sz w:val="24"/>
          <w:szCs w:val="28"/>
        </w:rPr>
        <w:t>5. 监控和管理：需要使用监控工具对系统进行全面监控，如 CPU 利用率、内存利用率、网络流量等，及时发现和解决问题。</w:t>
      </w:r>
    </w:p>
    <w:p>
      <w:pPr>
        <w:ind w:firstLine="420"/>
      </w:pPr>
      <w:r>
        <w:rPr>
          <w:rFonts w:hint="eastAsia"/>
          <w:sz w:val="24"/>
          <w:szCs w:val="28"/>
        </w:rPr>
        <w:t>6. 多样性：基础设施需要有专门的API接口，在云化的基础上足够方便的利用API进行资源的自动化增删改查与扩容。</w:t>
      </w:r>
    </w:p>
    <w:p>
      <w:pPr>
        <w:pStyle w:val="6"/>
        <w:rPr>
          <w:rFonts w:ascii="Cambria" w:hAnsi="Cambria" w:cs="Times New Roman"/>
          <w:sz w:val="24"/>
          <w:szCs w:val="24"/>
        </w:rPr>
      </w:pPr>
      <w:bookmarkStart w:id="59" w:name="_Toc31199"/>
      <w:r>
        <w:rPr>
          <w:rFonts w:hint="eastAsia" w:ascii="Cambria" w:hAnsi="Cambria" w:cs="Times New Roman"/>
          <w:sz w:val="24"/>
          <w:szCs w:val="24"/>
        </w:rPr>
        <w:t>4.1.5项目计划要求</w:t>
      </w:r>
      <w:bookmarkEnd w:id="59"/>
    </w:p>
    <w:p>
      <w:pPr>
        <w:numPr>
          <w:ilvl w:val="0"/>
          <w:numId w:val="10"/>
        </w:numPr>
        <w:ind w:firstLine="420"/>
        <w:rPr>
          <w:color w:val="000000"/>
          <w:sz w:val="24"/>
          <w:szCs w:val="28"/>
        </w:rPr>
      </w:pPr>
      <w:r>
        <w:rPr>
          <w:rFonts w:hint="eastAsia"/>
          <w:color w:val="000000"/>
          <w:sz w:val="24"/>
          <w:szCs w:val="28"/>
        </w:rPr>
        <w:t>自合同签订日起，</w:t>
      </w:r>
      <w:r>
        <w:rPr>
          <w:color w:val="000000"/>
          <w:sz w:val="24"/>
          <w:szCs w:val="28"/>
        </w:rPr>
        <w:t>10</w:t>
      </w:r>
      <w:r>
        <w:rPr>
          <w:rFonts w:hint="eastAsia"/>
          <w:color w:val="000000"/>
          <w:sz w:val="24"/>
          <w:szCs w:val="28"/>
        </w:rPr>
        <w:t>个工作日内提供完整的托管云生产可用平台，并且建立一对一的客户群，对相关技术、使用问题快速专业的进行解答。</w:t>
      </w:r>
    </w:p>
    <w:p>
      <w:pPr>
        <w:pStyle w:val="5"/>
        <w:rPr>
          <w:szCs w:val="44"/>
        </w:rPr>
      </w:pPr>
      <w:bookmarkStart w:id="60" w:name="_Toc2486"/>
      <w:r>
        <w:rPr>
          <w:rFonts w:hint="eastAsia"/>
          <w:szCs w:val="44"/>
        </w:rPr>
        <w:t>4.2总体要求</w:t>
      </w:r>
      <w:bookmarkEnd w:id="60"/>
    </w:p>
    <w:p>
      <w:pPr>
        <w:pStyle w:val="6"/>
        <w:rPr>
          <w:sz w:val="24"/>
          <w:szCs w:val="24"/>
        </w:rPr>
      </w:pPr>
      <w:bookmarkStart w:id="61" w:name="_Toc4233"/>
      <w:r>
        <w:rPr>
          <w:rFonts w:hint="eastAsia"/>
          <w:sz w:val="24"/>
          <w:szCs w:val="24"/>
        </w:rPr>
        <w:t>4.2.1建设原则</w:t>
      </w:r>
      <w:bookmarkEnd w:id="61"/>
    </w:p>
    <w:p>
      <w:pPr>
        <w:pStyle w:val="35"/>
        <w:ind w:firstLine="480"/>
      </w:pPr>
      <w:r>
        <w:rPr>
          <w:rFonts w:hint="eastAsia"/>
        </w:rPr>
        <w:t>本次项目要求从长远规划的角度出发，建设一套功能强大、扩展性强的托管云，满足公司组织发展和信息化建设需求，通过信息化手段提高工作质量和效率，并能够持续引入业界领先的理念与技术。为保证项目能达到上述建设目标，在设计过程中应遵循如下原则：</w:t>
      </w:r>
    </w:p>
    <w:p>
      <w:pPr>
        <w:pStyle w:val="35"/>
        <w:numPr>
          <w:ilvl w:val="0"/>
          <w:numId w:val="11"/>
        </w:numPr>
        <w:ind w:left="0" w:firstLine="0" w:firstLineChars="0"/>
      </w:pPr>
      <w:bookmarkStart w:id="62" w:name="_Toc211853174"/>
      <w:bookmarkEnd w:id="62"/>
      <w:bookmarkStart w:id="63" w:name="_Toc109477394"/>
      <w:bookmarkEnd w:id="63"/>
      <w:bookmarkStart w:id="64" w:name="_Toc108233245"/>
      <w:bookmarkEnd w:id="64"/>
      <w:bookmarkStart w:id="65" w:name="_Toc108200082"/>
      <w:bookmarkEnd w:id="65"/>
      <w:bookmarkStart w:id="66" w:name="_Toc108199764"/>
      <w:bookmarkEnd w:id="66"/>
      <w:r>
        <w:rPr>
          <w:rFonts w:hint="eastAsia"/>
        </w:rPr>
        <w:t>安全性：系统必须建立整套包括相关技术和制度在内的严格、缜密、可靠的托管云安全管理机制。</w:t>
      </w:r>
    </w:p>
    <w:p>
      <w:pPr>
        <w:pStyle w:val="35"/>
        <w:numPr>
          <w:ilvl w:val="0"/>
          <w:numId w:val="11"/>
        </w:numPr>
        <w:ind w:left="0" w:firstLine="0" w:firstLineChars="0"/>
      </w:pPr>
      <w:bookmarkStart w:id="67" w:name="_Toc211853177"/>
      <w:bookmarkEnd w:id="67"/>
      <w:r>
        <w:rPr>
          <w:rFonts w:hint="eastAsia"/>
        </w:rPr>
        <w:t>高可用性：系统应采用先进、成熟的平台，使系统各项功能得到可靠执行。</w:t>
      </w:r>
    </w:p>
    <w:p>
      <w:pPr>
        <w:pStyle w:val="35"/>
        <w:numPr>
          <w:ilvl w:val="0"/>
          <w:numId w:val="11"/>
        </w:numPr>
        <w:ind w:left="0" w:firstLine="0" w:firstLineChars="0"/>
      </w:pPr>
      <w:bookmarkStart w:id="68" w:name="_Toc211853175"/>
      <w:bookmarkEnd w:id="68"/>
      <w:bookmarkStart w:id="69" w:name="_Toc109477395"/>
      <w:bookmarkEnd w:id="69"/>
      <w:bookmarkStart w:id="70" w:name="_Toc108199765"/>
      <w:bookmarkEnd w:id="70"/>
      <w:bookmarkStart w:id="71" w:name="_Toc108233246"/>
      <w:bookmarkEnd w:id="71"/>
      <w:bookmarkStart w:id="72" w:name="_Toc108200083"/>
      <w:bookmarkEnd w:id="72"/>
      <w:r>
        <w:rPr>
          <w:rFonts w:hint="eastAsia"/>
        </w:rPr>
        <w:t>持续升级：系统须能够无需定制地平滑升级，并承诺对产品提供持续升级服务。</w:t>
      </w:r>
    </w:p>
    <w:p>
      <w:pPr>
        <w:pStyle w:val="35"/>
        <w:numPr>
          <w:ilvl w:val="0"/>
          <w:numId w:val="11"/>
        </w:numPr>
        <w:ind w:left="0" w:firstLine="0" w:firstLineChars="0"/>
      </w:pPr>
      <w:bookmarkStart w:id="73" w:name="_Toc211853179"/>
      <w:bookmarkEnd w:id="73"/>
      <w:bookmarkStart w:id="74" w:name="_Toc108199767"/>
      <w:bookmarkEnd w:id="74"/>
      <w:bookmarkStart w:id="75" w:name="_Toc108233248"/>
      <w:bookmarkEnd w:id="75"/>
      <w:bookmarkStart w:id="76" w:name="_Toc109477397"/>
      <w:bookmarkEnd w:id="76"/>
      <w:bookmarkStart w:id="77" w:name="_Toc108200085"/>
      <w:bookmarkEnd w:id="77"/>
      <w:r>
        <w:rPr>
          <w:rFonts w:hint="eastAsia"/>
        </w:rPr>
        <w:t>易用性：系统应提供友好的用户界面，人性化的设计，简单易用，便于操作。</w:t>
      </w:r>
    </w:p>
    <w:p>
      <w:pPr>
        <w:pStyle w:val="35"/>
        <w:numPr>
          <w:ilvl w:val="0"/>
          <w:numId w:val="11"/>
        </w:numPr>
        <w:ind w:left="0" w:firstLine="0" w:firstLineChars="0"/>
      </w:pPr>
      <w:bookmarkStart w:id="78" w:name="_Toc108233250"/>
      <w:bookmarkEnd w:id="78"/>
      <w:bookmarkStart w:id="79" w:name="_Toc211853181"/>
      <w:bookmarkEnd w:id="79"/>
      <w:bookmarkStart w:id="80" w:name="_Toc109477398"/>
      <w:bookmarkEnd w:id="80"/>
      <w:bookmarkStart w:id="81" w:name="_Toc108233249"/>
      <w:bookmarkEnd w:id="81"/>
      <w:bookmarkStart w:id="82" w:name="_Toc211853182"/>
      <w:bookmarkEnd w:id="82"/>
      <w:bookmarkStart w:id="83" w:name="_Toc108199768"/>
      <w:bookmarkEnd w:id="83"/>
      <w:bookmarkStart w:id="84" w:name="_Toc109477399"/>
      <w:bookmarkEnd w:id="84"/>
      <w:bookmarkStart w:id="85" w:name="_Toc108199769"/>
      <w:bookmarkEnd w:id="85"/>
      <w:bookmarkStart w:id="86" w:name="_Toc108200087"/>
      <w:bookmarkEnd w:id="86"/>
      <w:bookmarkStart w:id="87" w:name="_Toc108200086"/>
      <w:bookmarkEnd w:id="87"/>
      <w:bookmarkStart w:id="88" w:name="_Toc211853183"/>
      <w:bookmarkEnd w:id="88"/>
      <w:r>
        <w:rPr>
          <w:rFonts w:hint="eastAsia"/>
        </w:rPr>
        <w:t>可扩展性：系统设计要科学、合理，应具有良好的可扩展性，用户能按需有偿扩充新的功能模块及扩大应用规模，不得出现因功能与规模相互影响而导致实质性无法有效扩展等问题出现。</w:t>
      </w:r>
    </w:p>
    <w:p>
      <w:pPr>
        <w:pStyle w:val="35"/>
        <w:numPr>
          <w:ilvl w:val="0"/>
          <w:numId w:val="11"/>
        </w:numPr>
        <w:ind w:left="0" w:firstLine="0" w:firstLineChars="0"/>
      </w:pPr>
      <w:bookmarkStart w:id="89" w:name="_Toc108233252"/>
      <w:bookmarkEnd w:id="89"/>
      <w:bookmarkStart w:id="90" w:name="_Toc108199771"/>
      <w:bookmarkEnd w:id="90"/>
      <w:bookmarkStart w:id="91" w:name="_Toc211853185"/>
      <w:bookmarkEnd w:id="91"/>
      <w:bookmarkStart w:id="92" w:name="_Toc109477401"/>
      <w:bookmarkEnd w:id="92"/>
      <w:bookmarkStart w:id="93" w:name="_Toc108200089"/>
      <w:bookmarkEnd w:id="93"/>
      <w:r>
        <w:rPr>
          <w:rFonts w:hint="eastAsia"/>
        </w:rPr>
        <w:t>可维护性：系统应提供可视化的管理工具，允许通过多种手段，快捷管理、配置和监控系统运行状况，为系统正常运行提供技术保障。</w:t>
      </w:r>
    </w:p>
    <w:p>
      <w:pPr>
        <w:pStyle w:val="35"/>
        <w:ind w:firstLine="0" w:firstLineChars="0"/>
      </w:pPr>
    </w:p>
    <w:p>
      <w:pPr>
        <w:pStyle w:val="6"/>
        <w:rPr>
          <w:sz w:val="24"/>
          <w:szCs w:val="24"/>
        </w:rPr>
      </w:pPr>
      <w:bookmarkStart w:id="94" w:name="_Toc26481"/>
      <w:r>
        <w:rPr>
          <w:rFonts w:hint="eastAsia"/>
          <w:sz w:val="24"/>
          <w:szCs w:val="24"/>
        </w:rPr>
        <w:t>4.2.2提供完整的平台规划设计</w:t>
      </w:r>
      <w:bookmarkEnd w:id="94"/>
    </w:p>
    <w:p>
      <w:pPr>
        <w:pStyle w:val="35"/>
        <w:ind w:firstLine="480"/>
      </w:pPr>
      <w:r>
        <w:rPr>
          <w:rFonts w:hint="eastAsia"/>
        </w:rPr>
        <w:t>必须提供完整的平台规划设计方案，必须能够覆盖公司托管云的服务要求。方案中需包括托管云建设的全面内容，可对公司未来较长时间内逐步推进的数字化转型。</w:t>
      </w:r>
    </w:p>
    <w:p>
      <w:pPr>
        <w:pStyle w:val="6"/>
        <w:rPr>
          <w:sz w:val="24"/>
          <w:szCs w:val="24"/>
        </w:rPr>
      </w:pPr>
      <w:bookmarkStart w:id="95" w:name="_Toc32449"/>
      <w:r>
        <w:rPr>
          <w:rFonts w:hint="eastAsia"/>
          <w:sz w:val="24"/>
          <w:szCs w:val="24"/>
        </w:rPr>
        <w:t>4.2.3提供配置、开发培训</w:t>
      </w:r>
      <w:bookmarkEnd w:id="95"/>
    </w:p>
    <w:p>
      <w:pPr>
        <w:pStyle w:val="35"/>
        <w:ind w:firstLine="480"/>
      </w:pPr>
      <w:r>
        <w:rPr>
          <w:rFonts w:hint="eastAsia"/>
        </w:rPr>
        <w:t>托管云部署阶段，甲方将派技术人员参与整体的调研设计和实施工作，以便甲方技术人员可以充分了解和掌握平台的配置、维护、故障处理等。</w:t>
      </w:r>
    </w:p>
    <w:p>
      <w:pPr>
        <w:pStyle w:val="35"/>
        <w:ind w:firstLine="480"/>
      </w:pPr>
      <w:r>
        <w:rPr>
          <w:rFonts w:hint="eastAsia"/>
        </w:rPr>
        <w:t>乙方需提供托管云产品配置和管理培训，甲方将派技术人员参与系统配置学习，以便甲方技术人员后续可以逐步接手系统配置和运维。</w:t>
      </w:r>
    </w:p>
    <w:p>
      <w:pPr>
        <w:pStyle w:val="6"/>
        <w:rPr>
          <w:sz w:val="24"/>
          <w:szCs w:val="24"/>
        </w:rPr>
      </w:pPr>
      <w:bookmarkStart w:id="96" w:name="_Toc2594"/>
      <w:r>
        <w:rPr>
          <w:rFonts w:hint="eastAsia"/>
          <w:sz w:val="24"/>
          <w:szCs w:val="24"/>
        </w:rPr>
        <w:t>4.2</w:t>
      </w:r>
      <w:r>
        <w:rPr>
          <w:sz w:val="24"/>
          <w:szCs w:val="24"/>
        </w:rPr>
        <w:t>.</w:t>
      </w:r>
      <w:r>
        <w:rPr>
          <w:rFonts w:hint="eastAsia"/>
          <w:sz w:val="24"/>
          <w:szCs w:val="24"/>
        </w:rPr>
        <w:t>4</w:t>
      </w:r>
      <w:bookmarkEnd w:id="96"/>
      <w:r>
        <w:rPr>
          <w:rFonts w:hint="eastAsia"/>
          <w:sz w:val="24"/>
          <w:szCs w:val="24"/>
        </w:rPr>
        <w:t xml:space="preserve"> </w:t>
      </w:r>
      <w:bookmarkStart w:id="97" w:name="1.1.11.著作权要求"/>
      <w:bookmarkEnd w:id="97"/>
      <w:bookmarkStart w:id="98" w:name="1.1.12.持续开发及运维"/>
      <w:bookmarkEnd w:id="98"/>
      <w:bookmarkStart w:id="99" w:name="_Toc17344"/>
      <w:r>
        <w:rPr>
          <w:rFonts w:hint="eastAsia"/>
          <w:sz w:val="24"/>
          <w:szCs w:val="24"/>
        </w:rPr>
        <w:t>提供持续开发及运维服务</w:t>
      </w:r>
      <w:bookmarkEnd w:id="99"/>
    </w:p>
    <w:p>
      <w:pPr>
        <w:pStyle w:val="35"/>
        <w:ind w:firstLine="480"/>
      </w:pPr>
      <w:r>
        <w:rPr>
          <w:rFonts w:hint="eastAsia"/>
        </w:rPr>
        <w:t>托管云是个持续发展的平台，也是个连续运营的平台。乙方必须拥有持续提供后期扩展配置和不间断的运维能力。</w:t>
      </w:r>
    </w:p>
    <w:p>
      <w:pPr>
        <w:pStyle w:val="6"/>
        <w:rPr>
          <w:sz w:val="24"/>
          <w:szCs w:val="24"/>
        </w:rPr>
      </w:pPr>
      <w:bookmarkStart w:id="100" w:name="1.1.4.全面的图形化"/>
      <w:bookmarkEnd w:id="100"/>
      <w:bookmarkStart w:id="101" w:name="1.1.10.提供驻场开发"/>
      <w:bookmarkEnd w:id="101"/>
      <w:bookmarkStart w:id="102" w:name="1.1.8.基础资源共享能力"/>
      <w:bookmarkEnd w:id="102"/>
      <w:bookmarkStart w:id="103" w:name="1.1.6.采用容器云及微服务架构"/>
      <w:bookmarkEnd w:id="103"/>
      <w:bookmarkStart w:id="104" w:name="1.1.5.纯B/S架构、无桌面客户端"/>
      <w:bookmarkEnd w:id="104"/>
      <w:bookmarkStart w:id="105" w:name="1.1.3.完全开放的平台"/>
      <w:bookmarkEnd w:id="105"/>
      <w:bookmarkStart w:id="106" w:name="1.1.7.大数据处理能力"/>
      <w:bookmarkEnd w:id="106"/>
      <w:bookmarkStart w:id="107" w:name="1.1.2.基于成熟产品、无缝集成"/>
      <w:bookmarkEnd w:id="107"/>
      <w:bookmarkStart w:id="108" w:name="1.1.9.无限扩容"/>
      <w:bookmarkEnd w:id="108"/>
      <w:bookmarkStart w:id="109" w:name="_Toc21656"/>
      <w:r>
        <w:rPr>
          <w:rFonts w:hint="eastAsia"/>
          <w:sz w:val="24"/>
          <w:szCs w:val="24"/>
        </w:rPr>
        <w:t>4.2.</w:t>
      </w:r>
      <w:r>
        <w:rPr>
          <w:sz w:val="24"/>
          <w:szCs w:val="24"/>
        </w:rPr>
        <w:t>5</w:t>
      </w:r>
      <w:r>
        <w:rPr>
          <w:rFonts w:hint="eastAsia"/>
          <w:sz w:val="24"/>
          <w:szCs w:val="24"/>
        </w:rPr>
        <w:t>架构需求</w:t>
      </w:r>
      <w:bookmarkEnd w:id="109"/>
    </w:p>
    <w:p>
      <w:pPr>
        <w:ind w:left="420"/>
        <w:rPr>
          <w:szCs w:val="21"/>
        </w:rPr>
      </w:pPr>
      <w:bookmarkStart w:id="110" w:name="_Toc13867"/>
      <w:r>
        <w:rPr>
          <w:rFonts w:hint="eastAsia"/>
          <w:szCs w:val="21"/>
        </w:rPr>
        <w:t>4.2.2.1应用架构要求</w:t>
      </w:r>
      <w:bookmarkEnd w:id="110"/>
    </w:p>
    <w:p>
      <w:pPr>
        <w:pStyle w:val="35"/>
        <w:ind w:firstLine="480"/>
      </w:pPr>
      <w:r>
        <w:rPr>
          <w:rFonts w:hint="eastAsia"/>
        </w:rPr>
        <w:t>本项目以托管云平台化、智能化为导向，按照“统一规划、统一平台、需求导向、资源独占、安全保密”的建设思路，分级管理、稳步推进。</w:t>
      </w:r>
    </w:p>
    <w:p>
      <w:pPr>
        <w:pStyle w:val="5"/>
      </w:pPr>
      <w:bookmarkStart w:id="111" w:name="_Toc10804"/>
      <w:r>
        <w:rPr>
          <w:rFonts w:hint="eastAsia"/>
        </w:rPr>
        <w:t>4.3功能需求</w:t>
      </w:r>
      <w:bookmarkEnd w:id="111"/>
    </w:p>
    <w:p>
      <w:pPr>
        <w:pStyle w:val="35"/>
        <w:numPr>
          <w:ilvl w:val="0"/>
          <w:numId w:val="12"/>
        </w:numPr>
        <w:ind w:firstLine="420" w:firstLineChars="0"/>
      </w:pPr>
      <w:r>
        <w:t>资源管理：资源管理是托管云平台的核心功能之一，它包括虚拟机、容器、存储、网络等资源的创建、修改、删除、备份、恢复等操作。托管云平台应该提供直观、易用的资源管理界面和工具，可以轻松地管理云资源。</w:t>
      </w:r>
    </w:p>
    <w:p>
      <w:pPr>
        <w:pStyle w:val="35"/>
        <w:numPr>
          <w:ilvl w:val="0"/>
          <w:numId w:val="12"/>
        </w:numPr>
        <w:ind w:firstLine="420" w:firstLineChars="0"/>
      </w:pPr>
      <w:r>
        <w:t>监控和管理：托管云平台应该提供多种监控和管理工具，可以轻松地监控和管理云资源。这些工具可以实时监测云资源的使用情况、性能、安全等方面，并提供实时警报和提醒，以便快速响应和处理异常情况。</w:t>
      </w:r>
    </w:p>
    <w:p>
      <w:pPr>
        <w:pStyle w:val="35"/>
        <w:numPr>
          <w:ilvl w:val="0"/>
          <w:numId w:val="12"/>
        </w:numPr>
        <w:ind w:firstLine="420" w:firstLineChars="0"/>
      </w:pPr>
      <w:r>
        <w:t>安全性：托管云平台应该提供完善的安全措施，以保护数据安全和隐私。这些安全措施包括访问控制、加密、身份认证、审计、漏洞检测等，以确保云平台的安全性和可靠性。</w:t>
      </w:r>
    </w:p>
    <w:p>
      <w:pPr>
        <w:pStyle w:val="35"/>
        <w:numPr>
          <w:ilvl w:val="0"/>
          <w:numId w:val="12"/>
        </w:numPr>
        <w:ind w:firstLine="420" w:firstLineChars="0"/>
      </w:pPr>
      <w:r>
        <w:t>容量规划和扩展：托管云平台应该提供容量规划和扩展工具，可以轻松地规划和管理云资源的容量。这些工具应该可以实时监测云资源的使用情况，并根据业务需求的变化动态调整云资源，以提高云资源的利用率和效率。</w:t>
      </w:r>
    </w:p>
    <w:p>
      <w:pPr>
        <w:pStyle w:val="35"/>
        <w:numPr>
          <w:ilvl w:val="0"/>
          <w:numId w:val="12"/>
        </w:numPr>
        <w:ind w:firstLine="420" w:firstLineChars="0"/>
      </w:pPr>
      <w:r>
        <w:t>数据备份和恢复：托管云平台应该提供数据备份和恢复工具，可以轻松地备份和恢复数据。可以支持多种备份方式，如增量备份、全量备份等，并提供多种恢复模式，如快速恢复、按需恢复等，以便快速恢复数据和应用。</w:t>
      </w:r>
    </w:p>
    <w:p>
      <w:pPr>
        <w:pStyle w:val="35"/>
        <w:numPr>
          <w:ilvl w:val="0"/>
          <w:numId w:val="12"/>
        </w:numPr>
        <w:ind w:firstLine="420" w:firstLineChars="0"/>
      </w:pPr>
      <w:r>
        <w:t>弹性伸缩：托管云平台应该提供弹性伸缩工具，可以根据业务需求的变化动态调整云资源。这些工具应该可以自动识别业务需求的变化，并根据需求变化动态调整云资源的数量和类型，以提高云资源的利用率和效率。</w:t>
      </w:r>
    </w:p>
    <w:p>
      <w:pPr>
        <w:pStyle w:val="35"/>
        <w:numPr>
          <w:ilvl w:val="0"/>
          <w:numId w:val="12"/>
        </w:numPr>
        <w:ind w:firstLine="420" w:firstLineChars="0"/>
      </w:pPr>
      <w:r>
        <w:t>资源调度：托管云平台应该提供资源调度功能，以优化云资源的使用和效率。可以根据业务需求和负载情况自动调整云资源的数量和类型，以提高云资源的利用率和效率。</w:t>
      </w:r>
    </w:p>
    <w:p>
      <w:pPr>
        <w:pStyle w:val="35"/>
        <w:numPr>
          <w:ilvl w:val="0"/>
          <w:numId w:val="12"/>
        </w:numPr>
        <w:ind w:firstLine="420" w:firstLineChars="0"/>
      </w:pPr>
      <w:r>
        <w:t>数据存储和管理：托管云平台应该提供数据存储和管理功能，以支持存储和管理数据。支持多种数据存储方式，如磁盘存储、对象存储等，并提供高效的数据备份和恢复机制，以保证数据的安全性和可靠性。</w:t>
      </w:r>
    </w:p>
    <w:p>
      <w:pPr>
        <w:pStyle w:val="35"/>
        <w:numPr>
          <w:ilvl w:val="0"/>
          <w:numId w:val="12"/>
        </w:numPr>
        <w:ind w:firstLine="420" w:firstLineChars="0"/>
      </w:pPr>
      <w:r>
        <w:t>网络管理：托管云平台应该提供网络管理功能，以支持管理和配置网络。支持多种网络配置方式，如虚拟私有网络 (VPC)、虚拟专用网络 (VPN) 等，并提供高效的网络备份和恢复机制，以保证网络的稳定性和可靠性。</w:t>
      </w:r>
    </w:p>
    <w:p>
      <w:pPr>
        <w:pStyle w:val="35"/>
        <w:numPr>
          <w:ilvl w:val="0"/>
          <w:numId w:val="12"/>
        </w:numPr>
        <w:ind w:firstLine="420" w:firstLineChars="0"/>
      </w:pPr>
      <w:r>
        <w:t>自动化脚本管理：托管云平台应该提供自动化脚本管理功能，以支持自动化部署和管理应用程序。支持自动化脚本的编写和部署，以便可以快速自动化部署和管理应用程序，以提高部署效率和可靠性。</w:t>
      </w:r>
    </w:p>
    <w:p>
      <w:pPr>
        <w:pStyle w:val="35"/>
        <w:numPr>
          <w:ilvl w:val="0"/>
          <w:numId w:val="12"/>
        </w:numPr>
        <w:ind w:firstLine="420" w:firstLineChars="0"/>
      </w:pPr>
      <w:r>
        <w:t>资源隔离：托管云平台应该提供资源隔离功能，以保护用户的数据安全和隐私、可靠性。</w:t>
      </w:r>
    </w:p>
    <w:p>
      <w:pPr>
        <w:pStyle w:val="35"/>
        <w:numPr>
          <w:ilvl w:val="0"/>
          <w:numId w:val="12"/>
        </w:numPr>
        <w:ind w:firstLine="420" w:firstLineChars="0"/>
      </w:pPr>
      <w:r>
        <w:t>多语言支持：托管云平台应该提供多语言支持功能，以支持</w:t>
      </w:r>
      <w:r>
        <w:rPr>
          <w:rFonts w:hint="eastAsia"/>
        </w:rPr>
        <w:t>可以</w:t>
      </w:r>
      <w:r>
        <w:t>使用不同语言编写应用程序。这些功能应该可以支持多种编程语言和开发工具，以便用户可以轻松地编写和部署应用程序，以提高开发效率和可靠性。</w:t>
      </w:r>
    </w:p>
    <w:p>
      <w:pPr>
        <w:pStyle w:val="35"/>
        <w:ind w:firstLine="0" w:firstLineChars="0"/>
      </w:pPr>
    </w:p>
    <w:p>
      <w:pPr>
        <w:pStyle w:val="6"/>
      </w:pPr>
      <w:bookmarkStart w:id="112" w:name="_Toc21693768"/>
      <w:bookmarkStart w:id="113" w:name="_Toc1045"/>
      <w:r>
        <w:rPr>
          <w:rFonts w:hint="eastAsia"/>
        </w:rPr>
        <w:t>4.3.1性能要求</w:t>
      </w:r>
      <w:bookmarkEnd w:id="112"/>
      <w:bookmarkEnd w:id="113"/>
    </w:p>
    <w:p>
      <w:pPr>
        <w:ind w:left="640"/>
        <w:rPr>
          <w:sz w:val="24"/>
          <w:szCs w:val="24"/>
        </w:rPr>
      </w:pPr>
      <w:bookmarkStart w:id="114" w:name="_Toc335"/>
      <w:r>
        <w:rPr>
          <w:rFonts w:hint="eastAsia"/>
          <w:sz w:val="24"/>
          <w:szCs w:val="24"/>
        </w:rPr>
        <w:t>4.3.1.1稳定性指标</w:t>
      </w:r>
      <w:bookmarkEnd w:id="114"/>
    </w:p>
    <w:p>
      <w:pPr>
        <w:pStyle w:val="35"/>
        <w:ind w:firstLine="480"/>
      </w:pPr>
      <w:r>
        <w:rPr>
          <w:rFonts w:hint="eastAsia"/>
        </w:rPr>
        <w:t>要求能大规模、高质量地处理问题，可通过软硬件的平行扩展增大系统的负载能力。</w:t>
      </w:r>
    </w:p>
    <w:p>
      <w:pPr>
        <w:pStyle w:val="35"/>
        <w:ind w:firstLine="480"/>
      </w:pPr>
      <w:r>
        <w:rPr>
          <w:rFonts w:hint="eastAsia"/>
        </w:rPr>
        <w:t>1）系统总体可用性&gt;</w:t>
      </w:r>
      <w:r>
        <w:t>=</w:t>
      </w:r>
      <w:r>
        <w:rPr>
          <w:rFonts w:hint="eastAsia"/>
        </w:rPr>
        <w:t>99.9%,即一年最多停机时间为365 * 24 * 0.001 = 8.76小时，不满足可用性应该做出赔偿。</w:t>
      </w:r>
    </w:p>
    <w:p>
      <w:pPr>
        <w:pStyle w:val="35"/>
        <w:ind w:firstLine="480"/>
      </w:pPr>
      <w:r>
        <w:rPr>
          <w:rFonts w:hint="eastAsia"/>
        </w:rPr>
        <w:t>2）要求系统故障恢复时间不超过30分钟。</w:t>
      </w:r>
    </w:p>
    <w:p>
      <w:pPr>
        <w:pStyle w:val="35"/>
        <w:ind w:firstLine="480"/>
      </w:pPr>
      <w:r>
        <w:rPr>
          <w:rFonts w:hint="eastAsia"/>
        </w:rPr>
        <w:t>3）不得出现以下情况：</w:t>
      </w:r>
    </w:p>
    <w:p>
      <w:pPr>
        <w:pStyle w:val="35"/>
        <w:numPr>
          <w:ilvl w:val="0"/>
          <w:numId w:val="13"/>
        </w:numPr>
        <w:ind w:hanging="49" w:firstLineChars="0"/>
      </w:pPr>
      <w:r>
        <w:rPr>
          <w:rFonts w:hint="eastAsia"/>
        </w:rPr>
        <w:t>无故退出系统；</w:t>
      </w:r>
    </w:p>
    <w:p>
      <w:pPr>
        <w:pStyle w:val="35"/>
        <w:numPr>
          <w:ilvl w:val="0"/>
          <w:numId w:val="13"/>
        </w:numPr>
        <w:ind w:hanging="49" w:firstLineChars="0"/>
      </w:pPr>
      <w:r>
        <w:rPr>
          <w:rFonts w:hint="eastAsia"/>
        </w:rPr>
        <w:t>发生系统不可控制的故障提示；</w:t>
      </w:r>
    </w:p>
    <w:p>
      <w:pPr>
        <w:pStyle w:val="35"/>
        <w:ind w:firstLine="480"/>
      </w:pPr>
      <w:r>
        <w:rPr>
          <w:rFonts w:hint="eastAsia"/>
        </w:rPr>
        <w:t>4）要求支持365天*24小时的平台运作。</w:t>
      </w:r>
    </w:p>
    <w:p>
      <w:pPr>
        <w:pStyle w:val="35"/>
        <w:ind w:firstLine="480"/>
      </w:pPr>
    </w:p>
    <w:p>
      <w:pPr>
        <w:pStyle w:val="6"/>
        <w:rPr>
          <w:sz w:val="24"/>
          <w:szCs w:val="24"/>
        </w:rPr>
      </w:pPr>
      <w:bookmarkStart w:id="115" w:name="_Toc49366791"/>
      <w:bookmarkEnd w:id="115"/>
      <w:bookmarkStart w:id="116" w:name="_Toc49366789"/>
      <w:bookmarkEnd w:id="116"/>
      <w:bookmarkStart w:id="117" w:name="_Toc49364164"/>
      <w:bookmarkEnd w:id="117"/>
      <w:bookmarkStart w:id="118" w:name="_Toc49364162"/>
      <w:bookmarkEnd w:id="118"/>
      <w:bookmarkStart w:id="119" w:name="_Toc21693769"/>
      <w:bookmarkStart w:id="120" w:name="_Toc27016"/>
      <w:r>
        <w:rPr>
          <w:rFonts w:hint="eastAsia"/>
          <w:sz w:val="24"/>
          <w:szCs w:val="24"/>
        </w:rPr>
        <w:t>4.3.2安全要求</w:t>
      </w:r>
      <w:bookmarkEnd w:id="119"/>
      <w:bookmarkEnd w:id="120"/>
    </w:p>
    <w:p>
      <w:pPr>
        <w:pStyle w:val="35"/>
        <w:numPr>
          <w:ilvl w:val="0"/>
          <w:numId w:val="14"/>
        </w:numPr>
        <w:ind w:firstLineChars="0"/>
      </w:pPr>
      <w:r>
        <w:rPr>
          <w:rFonts w:hint="eastAsia"/>
        </w:rPr>
        <w:t>数据加密，服务器端存储的数据支持加密处理，保障数据存储安全；</w:t>
      </w:r>
    </w:p>
    <w:p>
      <w:pPr>
        <w:pStyle w:val="35"/>
        <w:numPr>
          <w:ilvl w:val="0"/>
          <w:numId w:val="14"/>
        </w:numPr>
        <w:ind w:firstLineChars="0"/>
      </w:pPr>
      <w:r>
        <w:rPr>
          <w:rFonts w:hint="eastAsia"/>
        </w:rPr>
        <w:t>密码加密，用户密码加密存储，保证密码不会外泄。系统能提供账户密码的更换周期控制；密码强弱度的校验等措施，有效保证用户密码的安全使用。</w:t>
      </w:r>
    </w:p>
    <w:p>
      <w:pPr>
        <w:pStyle w:val="35"/>
        <w:numPr>
          <w:ilvl w:val="0"/>
          <w:numId w:val="14"/>
        </w:numPr>
        <w:ind w:firstLineChars="0"/>
      </w:pPr>
      <w:r>
        <w:rPr>
          <w:rFonts w:hint="eastAsia"/>
        </w:rPr>
        <w:t>传输加密，要求能实现HTTPS通道访问加密；</w:t>
      </w:r>
    </w:p>
    <w:p>
      <w:pPr>
        <w:pStyle w:val="35"/>
        <w:numPr>
          <w:ilvl w:val="0"/>
          <w:numId w:val="14"/>
        </w:numPr>
        <w:ind w:firstLineChars="0"/>
      </w:pPr>
      <w:r>
        <w:rPr>
          <w:rFonts w:hint="eastAsia"/>
        </w:rPr>
        <w:t>充分考虑冗余、备份、容灾、故障快速恢复机制，具备异地容灾能力。；</w:t>
      </w:r>
    </w:p>
    <w:p>
      <w:pPr>
        <w:pStyle w:val="35"/>
        <w:numPr>
          <w:ilvl w:val="0"/>
          <w:numId w:val="14"/>
        </w:numPr>
        <w:ind w:firstLineChars="0"/>
      </w:pPr>
      <w:r>
        <w:rPr>
          <w:rFonts w:hint="eastAsia"/>
        </w:rPr>
        <w:t>通过数据库安全隔离、系统数据的使用规范等措施提升数据安全。</w:t>
      </w:r>
    </w:p>
    <w:p>
      <w:pPr>
        <w:pStyle w:val="35"/>
        <w:numPr>
          <w:ilvl w:val="0"/>
          <w:numId w:val="14"/>
        </w:numPr>
        <w:ind w:firstLineChars="0"/>
      </w:pPr>
      <w:r>
        <w:rPr>
          <w:rFonts w:hint="eastAsia"/>
        </w:rPr>
        <w:t>第三方认证，要求在用户名和密码支持外，可以结合第三方认证，包括第三方统一身份认证等；</w:t>
      </w:r>
    </w:p>
    <w:p>
      <w:pPr>
        <w:pStyle w:val="35"/>
        <w:numPr>
          <w:ilvl w:val="0"/>
          <w:numId w:val="14"/>
        </w:numPr>
        <w:ind w:firstLineChars="0"/>
      </w:pPr>
      <w:r>
        <w:rPr>
          <w:rFonts w:hint="eastAsia"/>
        </w:rPr>
        <w:t>完善的应用级别权限控制：系统可以进行灵活的权限设定，确保信息安全的可定义性和可执行性。</w:t>
      </w:r>
      <w:bookmarkStart w:id="121" w:name="_Toc411416267"/>
      <w:bookmarkEnd w:id="121"/>
    </w:p>
    <w:p>
      <w:pPr>
        <w:pStyle w:val="35"/>
        <w:numPr>
          <w:ilvl w:val="0"/>
          <w:numId w:val="14"/>
        </w:numPr>
        <w:ind w:firstLineChars="0"/>
      </w:pPr>
      <w:r>
        <w:rPr>
          <w:rFonts w:hint="eastAsia"/>
        </w:rPr>
        <w:t>提供服务化安全防护能力，同时也支持安全设备托管。</w:t>
      </w:r>
    </w:p>
    <w:p>
      <w:pPr>
        <w:pStyle w:val="35"/>
        <w:ind w:firstLine="0" w:firstLineChars="0"/>
      </w:pPr>
    </w:p>
    <w:p>
      <w:pPr>
        <w:pStyle w:val="6"/>
        <w:rPr>
          <w:sz w:val="24"/>
          <w:szCs w:val="40"/>
        </w:rPr>
      </w:pPr>
      <w:bookmarkStart w:id="122" w:name="_Toc19042"/>
      <w:r>
        <w:rPr>
          <w:rFonts w:hint="eastAsia"/>
          <w:sz w:val="24"/>
          <w:szCs w:val="40"/>
        </w:rPr>
        <w:t>4.</w:t>
      </w:r>
      <w:r>
        <w:rPr>
          <w:sz w:val="24"/>
          <w:szCs w:val="40"/>
        </w:rPr>
        <w:t>3.3</w:t>
      </w:r>
      <w:r>
        <w:rPr>
          <w:rFonts w:hint="eastAsia"/>
          <w:sz w:val="24"/>
          <w:szCs w:val="40"/>
        </w:rPr>
        <w:t>接入要求</w:t>
      </w:r>
      <w:bookmarkEnd w:id="122"/>
    </w:p>
    <w:p>
      <w:pPr>
        <w:pStyle w:val="35"/>
        <w:numPr>
          <w:ilvl w:val="0"/>
          <w:numId w:val="15"/>
        </w:numPr>
        <w:ind w:firstLineChars="0"/>
      </w:pPr>
      <w:r>
        <w:rPr>
          <w:rFonts w:hint="eastAsia"/>
        </w:rPr>
        <w:t>系统需支持实现通过互联网、VPN接入访问；</w:t>
      </w:r>
    </w:p>
    <w:p>
      <w:pPr>
        <w:pStyle w:val="35"/>
        <w:numPr>
          <w:ilvl w:val="0"/>
          <w:numId w:val="15"/>
        </w:numPr>
        <w:ind w:firstLineChars="0"/>
      </w:pPr>
      <w:r>
        <w:rPr>
          <w:rFonts w:hint="eastAsia"/>
        </w:rPr>
        <w:t>系统具备集成和扩展能力，后期实现与其他业务系统集成。</w:t>
      </w:r>
    </w:p>
    <w:p>
      <w:pPr>
        <w:pStyle w:val="6"/>
        <w:rPr>
          <w:sz w:val="24"/>
          <w:szCs w:val="40"/>
        </w:rPr>
      </w:pPr>
      <w:bookmarkStart w:id="123" w:name="_Toc21693771"/>
      <w:bookmarkStart w:id="124" w:name="_Toc17460"/>
      <w:r>
        <w:rPr>
          <w:rFonts w:hint="eastAsia"/>
          <w:sz w:val="24"/>
          <w:szCs w:val="40"/>
        </w:rPr>
        <w:t>4.</w:t>
      </w:r>
      <w:r>
        <w:rPr>
          <w:sz w:val="24"/>
          <w:szCs w:val="40"/>
        </w:rPr>
        <w:t>3</w:t>
      </w:r>
      <w:r>
        <w:rPr>
          <w:rFonts w:hint="eastAsia"/>
          <w:sz w:val="24"/>
          <w:szCs w:val="40"/>
        </w:rPr>
        <w:t>.</w:t>
      </w:r>
      <w:r>
        <w:rPr>
          <w:sz w:val="24"/>
          <w:szCs w:val="40"/>
        </w:rPr>
        <w:t>4</w:t>
      </w:r>
      <w:r>
        <w:rPr>
          <w:rFonts w:hint="eastAsia"/>
          <w:sz w:val="24"/>
          <w:szCs w:val="40"/>
        </w:rPr>
        <w:t>系统备份</w:t>
      </w:r>
      <w:bookmarkEnd w:id="123"/>
      <w:bookmarkEnd w:id="124"/>
    </w:p>
    <w:p>
      <w:pPr>
        <w:pStyle w:val="35"/>
        <w:numPr>
          <w:ilvl w:val="0"/>
          <w:numId w:val="16"/>
        </w:numPr>
        <w:ind w:firstLineChars="0"/>
      </w:pPr>
      <w:r>
        <w:rPr>
          <w:rFonts w:hint="eastAsia"/>
        </w:rPr>
        <w:t>提供安全可靠的数据备份与灾难恢复方案，确保数据安全完整，具备异地备份能力；</w:t>
      </w:r>
    </w:p>
    <w:p>
      <w:pPr>
        <w:pStyle w:val="35"/>
        <w:numPr>
          <w:ilvl w:val="0"/>
          <w:numId w:val="16"/>
        </w:numPr>
        <w:ind w:firstLineChars="0"/>
      </w:pPr>
      <w:r>
        <w:rPr>
          <w:rFonts w:hint="eastAsia"/>
        </w:rPr>
        <w:t>对应用系统和数据库使用合理的备份策略，出现问题时应用系统可快速恢复；</w:t>
      </w:r>
    </w:p>
    <w:p>
      <w:pPr>
        <w:pStyle w:val="35"/>
        <w:numPr>
          <w:ilvl w:val="0"/>
          <w:numId w:val="16"/>
        </w:numPr>
        <w:ind w:firstLineChars="0"/>
      </w:pPr>
      <w:r>
        <w:rPr>
          <w:rFonts w:hint="eastAsia"/>
        </w:rPr>
        <w:t>备份不能影响现有系统的性能；</w:t>
      </w:r>
    </w:p>
    <w:p>
      <w:pPr>
        <w:pStyle w:val="35"/>
        <w:numPr>
          <w:ilvl w:val="0"/>
          <w:numId w:val="16"/>
        </w:numPr>
        <w:ind w:firstLineChars="0"/>
      </w:pPr>
      <w:r>
        <w:rPr>
          <w:rFonts w:hint="eastAsia"/>
        </w:rPr>
        <w:t>备份系统要求做到支持全备份、增量备份；</w:t>
      </w:r>
    </w:p>
    <w:p>
      <w:pPr>
        <w:pStyle w:val="35"/>
        <w:numPr>
          <w:ilvl w:val="0"/>
          <w:numId w:val="16"/>
        </w:numPr>
        <w:ind w:firstLineChars="0"/>
      </w:pPr>
      <w:r>
        <w:rPr>
          <w:rFonts w:hint="eastAsia"/>
        </w:rPr>
        <w:t>重要系统服务器应支持采用双机热备等方案，以保证单一服务器故障不影响或少影响现有信息化系统的正常运行。</w:t>
      </w:r>
    </w:p>
    <w:p>
      <w:pPr>
        <w:pStyle w:val="5"/>
        <w:rPr>
          <w:sz w:val="24"/>
          <w:szCs w:val="24"/>
        </w:rPr>
      </w:pPr>
      <w:bookmarkStart w:id="125" w:name="_Toc1742"/>
      <w:bookmarkStart w:id="126" w:name="_Toc21693772"/>
      <w:r>
        <w:rPr>
          <w:rFonts w:hint="eastAsia"/>
          <w:sz w:val="24"/>
          <w:szCs w:val="24"/>
        </w:rPr>
        <w:t>4.</w:t>
      </w:r>
      <w:r>
        <w:rPr>
          <w:sz w:val="24"/>
          <w:szCs w:val="24"/>
        </w:rPr>
        <w:t>4</w:t>
      </w:r>
      <w:r>
        <w:rPr>
          <w:rFonts w:hint="eastAsia"/>
          <w:sz w:val="24"/>
          <w:szCs w:val="24"/>
        </w:rPr>
        <w:t>用户体验要求</w:t>
      </w:r>
      <w:bookmarkEnd w:id="125"/>
      <w:bookmarkEnd w:id="126"/>
    </w:p>
    <w:p>
      <w:pPr>
        <w:pStyle w:val="35"/>
        <w:numPr>
          <w:ilvl w:val="0"/>
          <w:numId w:val="17"/>
        </w:numPr>
        <w:ind w:firstLineChars="0"/>
      </w:pPr>
      <w:r>
        <w:rPr>
          <w:rFonts w:hint="eastAsia"/>
        </w:rPr>
        <w:t>系统整体的UI/UE设计应注重使用用户的体验，参考学习互联网用户体验经验，对栏目布局、操作次数、页面设计等方面进行综合规划；</w:t>
      </w:r>
    </w:p>
    <w:p>
      <w:pPr>
        <w:pStyle w:val="35"/>
        <w:numPr>
          <w:ilvl w:val="0"/>
          <w:numId w:val="17"/>
        </w:numPr>
        <w:ind w:firstLineChars="0"/>
      </w:pPr>
      <w:r>
        <w:rPr>
          <w:rFonts w:hint="eastAsia"/>
        </w:rPr>
        <w:t>突出重点内容，对内容的整合布局合理，页面布局既充实饱满，又整洁清晰、美观大方，同时能够自适应多种分辨率。</w:t>
      </w:r>
    </w:p>
    <w:p>
      <w:pPr>
        <w:pStyle w:val="35"/>
        <w:ind w:firstLine="0" w:firstLineChars="0"/>
      </w:pPr>
    </w:p>
    <w:p>
      <w:pPr>
        <w:pStyle w:val="5"/>
        <w:rPr>
          <w:color w:val="000000"/>
          <w:szCs w:val="28"/>
        </w:rPr>
      </w:pPr>
      <w:bookmarkStart w:id="127" w:name="_Toc24382"/>
      <w:r>
        <w:rPr>
          <w:rFonts w:hint="eastAsia"/>
          <w:color w:val="000000"/>
          <w:szCs w:val="28"/>
        </w:rPr>
        <w:t>4.5实施服务需求</w:t>
      </w:r>
      <w:bookmarkEnd w:id="127"/>
    </w:p>
    <w:p>
      <w:pPr>
        <w:pStyle w:val="6"/>
        <w:ind w:firstLine="732" w:firstLineChars="304"/>
        <w:rPr>
          <w:sz w:val="24"/>
          <w:szCs w:val="24"/>
        </w:rPr>
      </w:pPr>
      <w:bookmarkStart w:id="128" w:name="_Toc9193"/>
      <w:bookmarkStart w:id="129" w:name="_Toc21693774"/>
      <w:r>
        <w:rPr>
          <w:rFonts w:hint="eastAsia"/>
          <w:sz w:val="24"/>
          <w:szCs w:val="24"/>
        </w:rPr>
        <w:t>4.5.1工期要求</w:t>
      </w:r>
      <w:bookmarkEnd w:id="128"/>
      <w:bookmarkEnd w:id="129"/>
    </w:p>
    <w:p>
      <w:pPr>
        <w:pStyle w:val="35"/>
        <w:ind w:left="420" w:firstLine="420" w:firstLineChars="0"/>
      </w:pPr>
      <w:r>
        <w:rPr>
          <w:rFonts w:hint="eastAsia"/>
        </w:rPr>
        <w:t>在合同签订后一周内实施团队开始项目启动。</w:t>
      </w:r>
    </w:p>
    <w:p>
      <w:pPr>
        <w:pStyle w:val="36"/>
        <w:numPr>
          <w:ilvl w:val="0"/>
          <w:numId w:val="18"/>
        </w:numPr>
        <w:adjustRightInd/>
        <w:spacing w:line="360" w:lineRule="auto"/>
        <w:ind w:firstLineChars="0"/>
        <w:rPr>
          <w:rFonts w:ascii="宋体" w:hAnsi="宋体" w:cs="宋体"/>
          <w:szCs w:val="22"/>
        </w:rPr>
      </w:pPr>
      <w:r>
        <w:rPr>
          <w:rFonts w:hint="eastAsia" w:ascii="宋体" w:hAnsi="宋体" w:cs="宋体"/>
          <w:szCs w:val="22"/>
        </w:rPr>
        <w:t>系统实施：</w:t>
      </w:r>
    </w:p>
    <w:p>
      <w:pPr>
        <w:spacing w:line="360" w:lineRule="auto"/>
        <w:ind w:left="420" w:leftChars="200" w:firstLine="480" w:firstLineChars="200"/>
        <w:rPr>
          <w:sz w:val="24"/>
        </w:rPr>
      </w:pPr>
      <w:r>
        <w:rPr>
          <w:rFonts w:hint="eastAsia"/>
          <w:sz w:val="24"/>
        </w:rPr>
        <w:t>合同签订后</w:t>
      </w:r>
      <w:r>
        <w:rPr>
          <w:rFonts w:hint="eastAsia"/>
          <w:color w:val="FF0000"/>
          <w:sz w:val="24"/>
          <w:u w:val="single"/>
        </w:rPr>
        <w:t xml:space="preserve"> 2 </w:t>
      </w:r>
      <w:r>
        <w:rPr>
          <w:rFonts w:hint="eastAsia"/>
          <w:sz w:val="24"/>
        </w:rPr>
        <w:t>日内，完成实施工作。</w:t>
      </w:r>
    </w:p>
    <w:p>
      <w:pPr>
        <w:pStyle w:val="36"/>
        <w:numPr>
          <w:ilvl w:val="0"/>
          <w:numId w:val="18"/>
        </w:numPr>
        <w:adjustRightInd/>
        <w:spacing w:line="360" w:lineRule="auto"/>
        <w:ind w:firstLineChars="0"/>
        <w:rPr>
          <w:rFonts w:ascii="宋体" w:hAnsi="宋体" w:cs="宋体"/>
          <w:szCs w:val="22"/>
        </w:rPr>
      </w:pPr>
      <w:r>
        <w:rPr>
          <w:rFonts w:hint="eastAsia" w:ascii="宋体" w:hAnsi="宋体" w:cs="宋体"/>
          <w:szCs w:val="22"/>
        </w:rPr>
        <w:t>系统测试：</w:t>
      </w:r>
    </w:p>
    <w:p>
      <w:pPr>
        <w:spacing w:line="360" w:lineRule="auto"/>
        <w:ind w:left="420" w:leftChars="200" w:firstLine="480" w:firstLineChars="200"/>
        <w:rPr>
          <w:sz w:val="24"/>
        </w:rPr>
      </w:pPr>
      <w:r>
        <w:rPr>
          <w:rFonts w:hint="eastAsia"/>
          <w:sz w:val="24"/>
        </w:rPr>
        <w:t>合同签订后</w:t>
      </w:r>
      <w:r>
        <w:rPr>
          <w:rFonts w:hint="eastAsia"/>
          <w:color w:val="FF0000"/>
          <w:sz w:val="24"/>
          <w:u w:val="single"/>
        </w:rPr>
        <w:t xml:space="preserve"> 5 </w:t>
      </w:r>
      <w:r>
        <w:rPr>
          <w:rFonts w:hint="eastAsia"/>
          <w:sz w:val="24"/>
        </w:rPr>
        <w:t>日内，完成测试工作。</w:t>
      </w:r>
    </w:p>
    <w:p>
      <w:pPr>
        <w:pStyle w:val="36"/>
        <w:numPr>
          <w:ilvl w:val="0"/>
          <w:numId w:val="18"/>
        </w:numPr>
        <w:adjustRightInd/>
        <w:spacing w:line="360" w:lineRule="auto"/>
        <w:ind w:firstLineChars="0"/>
        <w:rPr>
          <w:rFonts w:ascii="宋体" w:hAnsi="宋体" w:cs="宋体"/>
          <w:szCs w:val="22"/>
        </w:rPr>
      </w:pPr>
      <w:r>
        <w:rPr>
          <w:rFonts w:hint="eastAsia" w:ascii="宋体" w:hAnsi="宋体" w:cs="宋体"/>
          <w:szCs w:val="22"/>
        </w:rPr>
        <w:t>试运行：</w:t>
      </w:r>
    </w:p>
    <w:p>
      <w:pPr>
        <w:spacing w:line="360" w:lineRule="auto"/>
        <w:ind w:left="420" w:leftChars="200" w:firstLine="480" w:firstLineChars="200"/>
        <w:rPr>
          <w:sz w:val="24"/>
        </w:rPr>
      </w:pPr>
      <w:r>
        <w:rPr>
          <w:rFonts w:hint="eastAsia"/>
          <w:sz w:val="24"/>
        </w:rPr>
        <w:t>合同签订后</w:t>
      </w:r>
      <w:r>
        <w:rPr>
          <w:rFonts w:hint="eastAsia"/>
          <w:color w:val="FF0000"/>
          <w:sz w:val="24"/>
          <w:u w:val="single"/>
        </w:rPr>
        <w:t xml:space="preserve"> 1</w:t>
      </w:r>
      <w:r>
        <w:rPr>
          <w:color w:val="FF0000"/>
          <w:sz w:val="24"/>
          <w:u w:val="single"/>
        </w:rPr>
        <w:t>5</w:t>
      </w:r>
      <w:r>
        <w:rPr>
          <w:rFonts w:hint="eastAsia"/>
          <w:color w:val="FF0000"/>
          <w:sz w:val="24"/>
          <w:u w:val="single"/>
        </w:rPr>
        <w:t xml:space="preserve"> </w:t>
      </w:r>
      <w:r>
        <w:rPr>
          <w:rFonts w:hint="eastAsia"/>
          <w:sz w:val="24"/>
        </w:rPr>
        <w:t>日内，启动上线试运行。</w:t>
      </w:r>
    </w:p>
    <w:p>
      <w:pPr>
        <w:pStyle w:val="6"/>
        <w:rPr>
          <w:sz w:val="24"/>
          <w:szCs w:val="24"/>
        </w:rPr>
      </w:pPr>
      <w:bookmarkStart w:id="130" w:name="_Toc21693775"/>
      <w:bookmarkStart w:id="131" w:name="_Toc8164"/>
      <w:r>
        <w:rPr>
          <w:rFonts w:hint="eastAsia"/>
          <w:sz w:val="24"/>
          <w:szCs w:val="24"/>
        </w:rPr>
        <w:t>4.5.2项目团队要求</w:t>
      </w:r>
      <w:bookmarkEnd w:id="130"/>
      <w:bookmarkEnd w:id="131"/>
    </w:p>
    <w:p>
      <w:pPr>
        <w:pStyle w:val="35"/>
        <w:ind w:firstLine="480"/>
      </w:pPr>
      <w:r>
        <w:rPr>
          <w:rFonts w:hint="eastAsia"/>
        </w:rPr>
        <w:t>由双方高层组成联合项目领导小组，主要负责项目指导、重大决策、资源协调。</w:t>
      </w:r>
    </w:p>
    <w:p>
      <w:pPr>
        <w:pStyle w:val="35"/>
        <w:ind w:firstLine="480"/>
      </w:pPr>
      <w:r>
        <w:rPr>
          <w:rFonts w:hint="eastAsia"/>
        </w:rPr>
        <w:t>由双方主要负责人组成项目质量管理组，项目质量管理与质量控制。</w:t>
      </w:r>
    </w:p>
    <w:p>
      <w:pPr>
        <w:pStyle w:val="35"/>
        <w:ind w:firstLine="480"/>
      </w:pPr>
      <w:r>
        <w:rPr>
          <w:rFonts w:hint="eastAsia"/>
        </w:rPr>
        <w:t>中标人项目组由项目经理负责，应保证项目团队成员稳定性。</w:t>
      </w:r>
    </w:p>
    <w:p>
      <w:pPr>
        <w:pStyle w:val="35"/>
        <w:ind w:firstLine="480"/>
      </w:pPr>
      <w:r>
        <w:rPr>
          <w:rFonts w:hint="eastAsia"/>
        </w:rPr>
        <w:t>本项目需要具有丰富项目经验与专业能力的项目经理与实施人员提供本地化服务，投标人应承诺在不同阶段配置足够的人员组织实施项目，必须保证配备至少1名项目经理和3名专职技术人员。</w:t>
      </w:r>
    </w:p>
    <w:p>
      <w:pPr>
        <w:pStyle w:val="35"/>
        <w:ind w:firstLine="480"/>
      </w:pPr>
      <w:r>
        <w:rPr>
          <w:rFonts w:hint="eastAsia"/>
        </w:rPr>
        <w:t>其中项目经理需具有3年（含）以上私有云平台的经验，具有专科及以上学历证书，具备为满足本项目的需求调配对应资源的足够能力。</w:t>
      </w:r>
    </w:p>
    <w:p>
      <w:pPr>
        <w:pStyle w:val="35"/>
        <w:ind w:firstLine="480"/>
      </w:pPr>
      <w:r>
        <w:rPr>
          <w:rFonts w:hint="eastAsia"/>
        </w:rPr>
        <w:t>技术人员需要具备足够丰富的托管云项目经验，且对自有厂家产品足够熟悉，甲方对提出的技术问题能够快速专业的进行解答。</w:t>
      </w:r>
    </w:p>
    <w:p>
      <w:pPr>
        <w:pStyle w:val="6"/>
        <w:rPr>
          <w:sz w:val="24"/>
          <w:szCs w:val="24"/>
        </w:rPr>
      </w:pPr>
      <w:bookmarkStart w:id="132" w:name="_Toc29233"/>
      <w:r>
        <w:rPr>
          <w:rFonts w:hint="eastAsia"/>
          <w:sz w:val="24"/>
          <w:szCs w:val="24"/>
        </w:rPr>
        <w:t>4.5.3实施要求</w:t>
      </w:r>
      <w:bookmarkEnd w:id="132"/>
    </w:p>
    <w:p>
      <w:pPr>
        <w:pStyle w:val="35"/>
        <w:ind w:firstLine="480"/>
      </w:pPr>
      <w:r>
        <w:rPr>
          <w:rFonts w:hint="eastAsia"/>
        </w:rPr>
        <w:t>中标人需具备相关托管云系统项目实施经验，并针对本项目的要求制订详细的项目管理方法，包括项目各阶段工作任务、交付成果、甲方配合工作、参与人员比例、数量及对人员业务经验的建议等。</w:t>
      </w:r>
    </w:p>
    <w:p>
      <w:pPr>
        <w:pStyle w:val="40"/>
        <w:numPr>
          <w:ilvl w:val="0"/>
          <w:numId w:val="19"/>
        </w:numPr>
        <w:tabs>
          <w:tab w:val="left" w:pos="420"/>
        </w:tabs>
        <w:spacing w:line="360" w:lineRule="auto"/>
        <w:ind w:left="420" w:leftChars="200" w:firstLine="0" w:firstLineChars="0"/>
        <w:rPr>
          <w:bCs/>
          <w:color w:val="000000"/>
          <w:sz w:val="24"/>
          <w:szCs w:val="21"/>
        </w:rPr>
      </w:pPr>
      <w:r>
        <w:rPr>
          <w:rFonts w:hint="eastAsia"/>
          <w:bCs/>
          <w:color w:val="000000"/>
          <w:sz w:val="24"/>
          <w:szCs w:val="21"/>
        </w:rPr>
        <w:t>中标人项目团队成员必须是中标人原厂人员。</w:t>
      </w:r>
    </w:p>
    <w:p>
      <w:pPr>
        <w:pStyle w:val="40"/>
        <w:numPr>
          <w:ilvl w:val="0"/>
          <w:numId w:val="19"/>
        </w:numPr>
        <w:spacing w:line="360" w:lineRule="auto"/>
        <w:ind w:left="0" w:firstLine="420" w:firstLineChars="175"/>
        <w:rPr>
          <w:bCs/>
          <w:color w:val="000000"/>
          <w:sz w:val="24"/>
          <w:szCs w:val="21"/>
        </w:rPr>
      </w:pPr>
      <w:r>
        <w:rPr>
          <w:rFonts w:hint="eastAsia"/>
          <w:bCs/>
          <w:color w:val="000000"/>
          <w:sz w:val="24"/>
          <w:szCs w:val="21"/>
        </w:rPr>
        <w:t>中标人需要成立相应的项目组，并指定专职的项目责任人负责项目协调和调度工作。中标方应承诺保持项目团队核心成员的稳定性，未经甲方许可不得随便调整项目团队核心成员（包括项目经理、工程师等）。如确需更换，中标方应提前15个工作日书面通知甲方，并立即补充人员进行工作交接，且更换人员个人资质不低于原项目组人员；待交接通过甲方审核后，原项目人员方可离开；如因此给甲方造成损失，由中标方承担；项目人员更换时，不得以任何方式复制甲方及项目的一切资料。</w:t>
      </w:r>
    </w:p>
    <w:p>
      <w:pPr>
        <w:pStyle w:val="40"/>
        <w:numPr>
          <w:ilvl w:val="0"/>
          <w:numId w:val="19"/>
        </w:numPr>
        <w:spacing w:line="360" w:lineRule="auto"/>
        <w:ind w:left="0" w:firstLine="420" w:firstLineChars="175"/>
        <w:rPr>
          <w:bCs/>
          <w:color w:val="000000"/>
          <w:sz w:val="24"/>
          <w:szCs w:val="21"/>
        </w:rPr>
      </w:pPr>
      <w:r>
        <w:rPr>
          <w:rFonts w:hint="eastAsia"/>
          <w:bCs/>
          <w:color w:val="000000"/>
          <w:sz w:val="24"/>
          <w:szCs w:val="21"/>
        </w:rPr>
        <w:t>投标人需提供团队组建方案，方案应该详尽明确，配置科学合理，核心团队经验丰富，团队成员资质和能力匹配项目需求。</w:t>
      </w:r>
    </w:p>
    <w:p>
      <w:pPr>
        <w:pStyle w:val="35"/>
        <w:ind w:firstLine="480"/>
      </w:pPr>
      <w:r>
        <w:rPr>
          <w:rFonts w:hint="eastAsia"/>
        </w:rPr>
        <w:t>项目实施中必须根据甲方需求进行梳理确认、实施，以满足甲方部门间信息共享的需求。</w:t>
      </w:r>
    </w:p>
    <w:p>
      <w:pPr>
        <w:pStyle w:val="40"/>
        <w:spacing w:line="360" w:lineRule="auto"/>
        <w:ind w:firstLine="0" w:firstLineChars="0"/>
        <w:rPr>
          <w:bCs/>
          <w:color w:val="000000"/>
          <w:sz w:val="24"/>
          <w:szCs w:val="21"/>
        </w:rPr>
      </w:pPr>
      <w:r>
        <w:rPr>
          <w:rFonts w:hint="eastAsia"/>
          <w:bCs/>
          <w:color w:val="000000"/>
          <w:sz w:val="24"/>
          <w:szCs w:val="21"/>
        </w:rPr>
        <w:t>中标人的项目责任人必须参与项目各阶段的评审汇报，并作为中标人主汇报人。</w:t>
      </w:r>
    </w:p>
    <w:p>
      <w:pPr>
        <w:pStyle w:val="40"/>
        <w:numPr>
          <w:ilvl w:val="0"/>
          <w:numId w:val="20"/>
        </w:numPr>
        <w:spacing w:line="360" w:lineRule="auto"/>
        <w:ind w:left="420" w:leftChars="200" w:firstLine="0" w:firstLineChars="0"/>
        <w:rPr>
          <w:bCs/>
          <w:color w:val="000000"/>
          <w:sz w:val="24"/>
          <w:szCs w:val="21"/>
        </w:rPr>
      </w:pPr>
      <w:r>
        <w:rPr>
          <w:rFonts w:hint="eastAsia"/>
          <w:bCs/>
          <w:color w:val="000000"/>
          <w:sz w:val="24"/>
          <w:szCs w:val="21"/>
        </w:rPr>
        <w:t>建立重大问题汇报制度。项目实施过程中，如出现重大问题或重要变更发生时，中标人需在当天内向招标单位书面报告，并提出解决问题的办法。</w:t>
      </w:r>
    </w:p>
    <w:p>
      <w:pPr>
        <w:pStyle w:val="40"/>
        <w:numPr>
          <w:ilvl w:val="0"/>
          <w:numId w:val="20"/>
        </w:numPr>
        <w:spacing w:line="360" w:lineRule="auto"/>
        <w:ind w:left="420" w:leftChars="200" w:firstLine="0" w:firstLineChars="0"/>
        <w:rPr>
          <w:bCs/>
          <w:color w:val="000000"/>
          <w:sz w:val="24"/>
          <w:szCs w:val="21"/>
        </w:rPr>
      </w:pPr>
      <w:r>
        <w:rPr>
          <w:rFonts w:hint="eastAsia"/>
          <w:bCs/>
          <w:color w:val="000000"/>
          <w:sz w:val="24"/>
          <w:szCs w:val="21"/>
        </w:rPr>
        <w:t>中标人必须提供项目各类重大问题的故障应急处理机制方案。</w:t>
      </w:r>
    </w:p>
    <w:p>
      <w:pPr>
        <w:pStyle w:val="40"/>
        <w:spacing w:line="360" w:lineRule="auto"/>
        <w:ind w:firstLine="0" w:firstLineChars="0"/>
        <w:jc w:val="left"/>
        <w:rPr>
          <w:bCs/>
          <w:color w:val="000000"/>
          <w:sz w:val="24"/>
          <w:szCs w:val="21"/>
        </w:rPr>
      </w:pPr>
    </w:p>
    <w:p>
      <w:pPr>
        <w:pStyle w:val="6"/>
      </w:pPr>
      <w:bookmarkStart w:id="133" w:name="_Toc31742"/>
      <w:bookmarkStart w:id="134" w:name="_Toc21693777"/>
      <w:r>
        <w:rPr>
          <w:rFonts w:hint="eastAsia"/>
        </w:rPr>
        <w:t>4.5.4培训要求</w:t>
      </w:r>
      <w:bookmarkEnd w:id="133"/>
      <w:bookmarkEnd w:id="134"/>
    </w:p>
    <w:p>
      <w:pPr>
        <w:pStyle w:val="35"/>
        <w:ind w:firstLine="480"/>
      </w:pPr>
      <w:r>
        <w:rPr>
          <w:rFonts w:hint="eastAsia"/>
        </w:rPr>
        <w:t>本项目中标人负责对甲方人员提供技术培训。投标人应在投标文件中提出培训计划，计划包括培训类别、培训项目、人数、时间、地点及培训方式等详细内容，达到使相关人员熟练使用系统的目的。培训前，中标人需编制完成完善的培训材料。</w:t>
      </w:r>
    </w:p>
    <w:p>
      <w:pPr>
        <w:pStyle w:val="35"/>
        <w:ind w:firstLine="420" w:firstLineChars="0"/>
      </w:pPr>
      <w:r>
        <w:rPr>
          <w:rFonts w:hint="eastAsia"/>
        </w:rPr>
        <w:t>1、对使用人员进行培训，使理解和执行系统管理任务，设置和维护某些选项，如：RDS参数修改、用户权限、以及与主流公有云使用方式有较大差异的地方、使能够独立进行软件维护等。</w:t>
      </w:r>
    </w:p>
    <w:p>
      <w:pPr>
        <w:pStyle w:val="35"/>
        <w:ind w:firstLine="420" w:firstLineChars="0"/>
      </w:pPr>
      <w:r>
        <w:rPr>
          <w:rFonts w:hint="eastAsia"/>
        </w:rPr>
        <w:t>2、乙方应保证提供最有经验的教员，使甲方人员在培训后能够独立地对系统进行操作、管理、维护。</w:t>
      </w:r>
    </w:p>
    <w:p>
      <w:pPr>
        <w:pStyle w:val="35"/>
        <w:ind w:firstLine="0" w:firstLineChars="0"/>
      </w:pPr>
    </w:p>
    <w:p>
      <w:pPr>
        <w:pStyle w:val="6"/>
        <w:rPr>
          <w:sz w:val="28"/>
          <w:szCs w:val="44"/>
        </w:rPr>
      </w:pPr>
      <w:bookmarkStart w:id="135" w:name="_Toc17713"/>
      <w:r>
        <w:rPr>
          <w:rFonts w:hint="eastAsia"/>
          <w:sz w:val="28"/>
          <w:szCs w:val="44"/>
        </w:rPr>
        <w:t>4.5.</w:t>
      </w:r>
      <w:r>
        <w:rPr>
          <w:sz w:val="28"/>
          <w:szCs w:val="44"/>
        </w:rPr>
        <w:t>5</w:t>
      </w:r>
      <w:r>
        <w:rPr>
          <w:rFonts w:hint="eastAsia"/>
          <w:sz w:val="28"/>
          <w:szCs w:val="44"/>
        </w:rPr>
        <w:t>验收要求</w:t>
      </w:r>
      <w:bookmarkEnd w:id="135"/>
    </w:p>
    <w:p>
      <w:pPr>
        <w:pStyle w:val="35"/>
        <w:ind w:firstLine="480"/>
      </w:pPr>
      <w:r>
        <w:rPr>
          <w:rFonts w:hint="eastAsia"/>
        </w:rPr>
        <w:t>乙方自合同签订</w:t>
      </w:r>
      <w:r>
        <w:t>15</w:t>
      </w:r>
      <w:r>
        <w:rPr>
          <w:rFonts w:hint="eastAsia"/>
        </w:rPr>
        <w:t>日内完成项目建设内容，并向甲方提交验收申请。甲方在收到乙方验收申请后30个工作日内进行内部验收评审</w:t>
      </w:r>
    </w:p>
    <w:p>
      <w:pPr>
        <w:pStyle w:val="6"/>
        <w:rPr>
          <w:sz w:val="28"/>
          <w:szCs w:val="44"/>
        </w:rPr>
      </w:pPr>
      <w:bookmarkStart w:id="136" w:name="_Toc421"/>
      <w:r>
        <w:rPr>
          <w:rFonts w:hint="eastAsia"/>
          <w:sz w:val="28"/>
          <w:szCs w:val="44"/>
        </w:rPr>
        <w:t>4.5.</w:t>
      </w:r>
      <w:r>
        <w:rPr>
          <w:sz w:val="28"/>
          <w:szCs w:val="44"/>
        </w:rPr>
        <w:t>6</w:t>
      </w:r>
      <w:r>
        <w:rPr>
          <w:rFonts w:hint="eastAsia"/>
          <w:sz w:val="28"/>
          <w:szCs w:val="44"/>
        </w:rPr>
        <w:t>运维保障服务</w:t>
      </w:r>
      <w:bookmarkEnd w:id="136"/>
    </w:p>
    <w:p>
      <w:pPr>
        <w:pStyle w:val="7"/>
        <w:numPr>
          <w:ilvl w:val="0"/>
          <w:numId w:val="0"/>
        </w:numPr>
        <w:ind w:left="142"/>
        <w:rPr>
          <w:sz w:val="24"/>
          <w:szCs w:val="24"/>
        </w:rPr>
      </w:pPr>
      <w:bookmarkStart w:id="137" w:name="_Toc20602"/>
      <w:r>
        <w:rPr>
          <w:rFonts w:hint="eastAsia"/>
          <w:sz w:val="24"/>
          <w:szCs w:val="24"/>
        </w:rPr>
        <w:t>服务要求</w:t>
      </w:r>
      <w:bookmarkEnd w:id="137"/>
    </w:p>
    <w:p>
      <w:pPr>
        <w:pStyle w:val="35"/>
        <w:ind w:firstLine="480"/>
      </w:pPr>
      <w:r>
        <w:rPr>
          <w:rFonts w:hint="eastAsia"/>
        </w:rPr>
        <w:t>系统投入上线使用开始，乙方应提出保障系统正常运行的方法，及时解决系统的问题。乙方应提供电话、电子邮件、传真、现场服务等多种技术支持方法，并明确各类技术支持的响应时间。</w:t>
      </w:r>
    </w:p>
    <w:p>
      <w:pPr>
        <w:pStyle w:val="35"/>
        <w:ind w:firstLine="480"/>
      </w:pPr>
    </w:p>
    <w:tbl>
      <w:tblPr>
        <w:tblStyle w:val="23"/>
        <w:tblW w:w="5000" w:type="pct"/>
        <w:tblInd w:w="0" w:type="dxa"/>
        <w:tblLayout w:type="fixed"/>
        <w:tblCellMar>
          <w:top w:w="0" w:type="dxa"/>
          <w:left w:w="108" w:type="dxa"/>
          <w:bottom w:w="0" w:type="dxa"/>
          <w:right w:w="108" w:type="dxa"/>
        </w:tblCellMar>
      </w:tblPr>
      <w:tblGrid>
        <w:gridCol w:w="1891"/>
        <w:gridCol w:w="2119"/>
        <w:gridCol w:w="6672"/>
      </w:tblGrid>
      <w:tr>
        <w:trPr>
          <w:trHeight w:val="280" w:hRule="atLeast"/>
        </w:trPr>
        <w:tc>
          <w:tcPr>
            <w:tcW w:w="885" w:type="pct"/>
            <w:tcBorders>
              <w:top w:val="single" w:color="auto" w:sz="4" w:space="0"/>
              <w:left w:val="single" w:color="auto" w:sz="4" w:space="0"/>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服务内容</w:t>
            </w:r>
          </w:p>
        </w:tc>
        <w:tc>
          <w:tcPr>
            <w:tcW w:w="992"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方式</w:t>
            </w:r>
          </w:p>
        </w:tc>
        <w:tc>
          <w:tcPr>
            <w:tcW w:w="3123"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服务标准</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故障处理</w:t>
            </w:r>
          </w:p>
        </w:tc>
        <w:tc>
          <w:tcPr>
            <w:tcW w:w="992"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远程或现场</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3123" w:type="pct"/>
            <w:tcBorders>
              <w:top w:val="nil"/>
              <w:left w:val="nil"/>
              <w:bottom w:val="single" w:color="auto" w:sz="4" w:space="0"/>
              <w:right w:val="single" w:color="auto" w:sz="4" w:space="0"/>
            </w:tcBorders>
            <w:vAlign w:val="center"/>
          </w:tcPr>
          <w:p>
            <w:pPr>
              <w:pStyle w:val="42"/>
              <w:widowControl/>
              <w:numPr>
                <w:ilvl w:val="0"/>
                <w:numId w:val="21"/>
              </w:numPr>
              <w:ind w:firstLineChars="0"/>
              <w:jc w:val="left"/>
              <w:rPr>
                <w:color w:val="000000"/>
                <w:kern w:val="0"/>
                <w:sz w:val="24"/>
              </w:rPr>
            </w:pPr>
            <w:r>
              <w:rPr>
                <w:rFonts w:hint="eastAsia"/>
                <w:color w:val="000000"/>
                <w:kern w:val="0"/>
                <w:sz w:val="24"/>
              </w:rPr>
              <w:t>响应时间：5分钟，即在5分钟内响应并初次答复用户问题，并在30分钟内给出初步解决方案。</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问题解答</w:t>
            </w:r>
          </w:p>
        </w:tc>
        <w:tc>
          <w:tcPr>
            <w:tcW w:w="992"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邮件、电话</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响应时间：30分钟，即在30分钟内响应并初次答复用户问题。</w:t>
            </w:r>
          </w:p>
        </w:tc>
      </w:tr>
      <w:tr>
        <w:tblPrEx>
          <w:tblCellMar>
            <w:top w:w="0" w:type="dxa"/>
            <w:left w:w="108" w:type="dxa"/>
            <w:bottom w:w="0" w:type="dxa"/>
            <w:right w:w="108" w:type="dxa"/>
          </w:tblCellMar>
        </w:tblPrEx>
        <w:trPr>
          <w:trHeight w:val="280" w:hRule="atLeast"/>
        </w:trPr>
        <w:tc>
          <w:tcPr>
            <w:tcW w:w="885" w:type="pc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系统巡检</w:t>
            </w:r>
          </w:p>
        </w:tc>
        <w:tc>
          <w:tcPr>
            <w:tcW w:w="992" w:type="pct"/>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提供每周一次的自动巡检并出具巡检报告。</w:t>
            </w:r>
          </w:p>
        </w:tc>
      </w:tr>
      <w:tr>
        <w:tblPrEx>
          <w:tblCellMar>
            <w:top w:w="0" w:type="dxa"/>
            <w:left w:w="108" w:type="dxa"/>
            <w:bottom w:w="0" w:type="dxa"/>
            <w:right w:w="108" w:type="dxa"/>
          </w:tblCellMar>
        </w:tblPrEx>
        <w:trPr>
          <w:trHeight w:val="560" w:hRule="atLeast"/>
        </w:trPr>
        <w:tc>
          <w:tcPr>
            <w:tcW w:w="885" w:type="pc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补丁更新</w:t>
            </w:r>
          </w:p>
        </w:tc>
        <w:tc>
          <w:tcPr>
            <w:tcW w:w="992" w:type="pct"/>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远程或现场（非必需）</w:t>
            </w:r>
          </w:p>
        </w:tc>
        <w:tc>
          <w:tcPr>
            <w:tcW w:w="3123" w:type="pct"/>
            <w:tcBorders>
              <w:top w:val="single" w:color="auto" w:sz="4" w:space="0"/>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当环境问题进行修复后，对现场环境进行更新。</w:t>
            </w:r>
          </w:p>
        </w:tc>
      </w:tr>
      <w:tr>
        <w:tblPrEx>
          <w:tblCellMar>
            <w:top w:w="0" w:type="dxa"/>
            <w:left w:w="108" w:type="dxa"/>
            <w:bottom w:w="0" w:type="dxa"/>
            <w:right w:w="108" w:type="dxa"/>
          </w:tblCellMar>
        </w:tblPrEx>
        <w:trPr>
          <w:trHeight w:val="560" w:hRule="atLeast"/>
        </w:trPr>
        <w:tc>
          <w:tcPr>
            <w:tcW w:w="885" w:type="pc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服务管理</w:t>
            </w:r>
          </w:p>
        </w:tc>
        <w:tc>
          <w:tcPr>
            <w:tcW w:w="992" w:type="pct"/>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w:t>
            </w:r>
          </w:p>
        </w:tc>
        <w:tc>
          <w:tcPr>
            <w:tcW w:w="3123" w:type="pct"/>
            <w:tcBorders>
              <w:top w:val="single" w:color="auto" w:sz="4" w:space="0"/>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提供符合ITIL标准的服务支持流程、体系、工单系统。</w:t>
            </w:r>
          </w:p>
        </w:tc>
      </w:tr>
    </w:tbl>
    <w:p>
      <w:pPr>
        <w:tabs>
          <w:tab w:val="left" w:pos="981"/>
        </w:tabs>
        <w:autoSpaceDE w:val="0"/>
        <w:autoSpaceDN w:val="0"/>
        <w:rPr>
          <w:color w:val="000000"/>
          <w:sz w:val="32"/>
          <w:szCs w:val="32"/>
        </w:rPr>
      </w:pPr>
    </w:p>
    <w:p>
      <w:pPr>
        <w:pStyle w:val="5"/>
      </w:pPr>
      <w:bookmarkStart w:id="138" w:name="_Toc29765"/>
      <w:bookmarkStart w:id="139" w:name="_Toc493646021"/>
      <w:r>
        <w:rPr>
          <w:rFonts w:hint="eastAsia"/>
        </w:rPr>
        <w:t>4.6评标原则及评标方法</w:t>
      </w:r>
      <w:bookmarkEnd w:id="138"/>
      <w:bookmarkEnd w:id="139"/>
    </w:p>
    <w:p>
      <w:pPr>
        <w:pStyle w:val="6"/>
      </w:pPr>
      <w:bookmarkStart w:id="140" w:name="_Toc493646022"/>
      <w:bookmarkStart w:id="141" w:name="_Toc9361"/>
      <w:r>
        <w:rPr>
          <w:rFonts w:hint="eastAsia"/>
        </w:rPr>
        <w:t>4.6.1评标原则</w:t>
      </w:r>
      <w:bookmarkEnd w:id="140"/>
      <w:bookmarkEnd w:id="141"/>
    </w:p>
    <w:p>
      <w:pPr>
        <w:pStyle w:val="33"/>
        <w:numPr>
          <w:ilvl w:val="0"/>
          <w:numId w:val="22"/>
        </w:numPr>
        <w:spacing w:line="360" w:lineRule="auto"/>
        <w:ind w:left="901" w:firstLineChars="0"/>
        <w:rPr>
          <w:sz w:val="24"/>
          <w:szCs w:val="24"/>
        </w:rPr>
      </w:pPr>
      <w:r>
        <w:rPr>
          <w:rFonts w:hint="eastAsia"/>
          <w:sz w:val="24"/>
          <w:szCs w:val="24"/>
        </w:rPr>
        <w:t>遵循公开、公正、公平和择优、诚信的原则；</w:t>
      </w:r>
    </w:p>
    <w:p>
      <w:pPr>
        <w:pStyle w:val="33"/>
        <w:numPr>
          <w:ilvl w:val="0"/>
          <w:numId w:val="22"/>
        </w:numPr>
        <w:spacing w:line="360" w:lineRule="auto"/>
        <w:ind w:left="901" w:firstLineChars="0"/>
        <w:rPr>
          <w:sz w:val="24"/>
          <w:szCs w:val="24"/>
        </w:rPr>
      </w:pPr>
      <w:r>
        <w:rPr>
          <w:rFonts w:hint="eastAsia"/>
          <w:sz w:val="24"/>
          <w:szCs w:val="24"/>
        </w:rPr>
        <w:t>招标文件是评标的依据；</w:t>
      </w:r>
    </w:p>
    <w:p>
      <w:pPr>
        <w:pStyle w:val="33"/>
        <w:numPr>
          <w:ilvl w:val="0"/>
          <w:numId w:val="22"/>
        </w:numPr>
        <w:spacing w:line="360" w:lineRule="auto"/>
        <w:ind w:left="901" w:firstLineChars="0"/>
        <w:rPr>
          <w:sz w:val="24"/>
          <w:szCs w:val="24"/>
        </w:rPr>
      </w:pPr>
      <w:r>
        <w:rPr>
          <w:rFonts w:hint="eastAsia"/>
          <w:sz w:val="24"/>
          <w:szCs w:val="24"/>
        </w:rPr>
        <w:t>对技术标和商务标中不明确的内容将进行技术、商务澄清，澄清中不允许对投标书中承诺的主要技术指标和功能做实质性的修改，但可作为中标后签约内容的组成部分；</w:t>
      </w:r>
    </w:p>
    <w:p>
      <w:pPr>
        <w:pStyle w:val="33"/>
        <w:numPr>
          <w:ilvl w:val="0"/>
          <w:numId w:val="22"/>
        </w:numPr>
        <w:spacing w:line="360" w:lineRule="auto"/>
        <w:ind w:left="901" w:firstLineChars="0"/>
        <w:rPr>
          <w:sz w:val="24"/>
          <w:szCs w:val="24"/>
        </w:rPr>
      </w:pPr>
      <w:r>
        <w:rPr>
          <w:rFonts w:hint="eastAsia"/>
          <w:sz w:val="24"/>
          <w:szCs w:val="24"/>
        </w:rPr>
        <w:t>投标人信誉良好，有足够的业绩，有明确可信的售后服务保障条件；</w:t>
      </w:r>
    </w:p>
    <w:p>
      <w:pPr>
        <w:pStyle w:val="33"/>
        <w:numPr>
          <w:ilvl w:val="0"/>
          <w:numId w:val="22"/>
        </w:numPr>
        <w:spacing w:line="360" w:lineRule="auto"/>
        <w:ind w:left="901" w:firstLineChars="0"/>
        <w:rPr>
          <w:sz w:val="24"/>
          <w:szCs w:val="24"/>
        </w:rPr>
      </w:pPr>
      <w:r>
        <w:rPr>
          <w:rFonts w:hint="eastAsia"/>
          <w:sz w:val="24"/>
          <w:szCs w:val="24"/>
        </w:rPr>
        <w:t>报价竞争性强、性价比优；</w:t>
      </w:r>
    </w:p>
    <w:p>
      <w:pPr>
        <w:pStyle w:val="33"/>
        <w:numPr>
          <w:ilvl w:val="0"/>
          <w:numId w:val="22"/>
        </w:numPr>
        <w:spacing w:line="360" w:lineRule="auto"/>
        <w:ind w:left="901" w:firstLineChars="0"/>
        <w:rPr>
          <w:sz w:val="24"/>
          <w:szCs w:val="24"/>
        </w:rPr>
      </w:pPr>
      <w:r>
        <w:rPr>
          <w:rFonts w:hint="eastAsia"/>
          <w:sz w:val="24"/>
          <w:szCs w:val="24"/>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pPr>
        <w:pStyle w:val="6"/>
      </w:pPr>
      <w:bookmarkStart w:id="142" w:name="_Toc7448"/>
      <w:bookmarkStart w:id="143" w:name="_Toc493646023"/>
      <w:r>
        <w:rPr>
          <w:rFonts w:hint="eastAsia"/>
        </w:rPr>
        <w:t>4.6.2评标方法</w:t>
      </w:r>
      <w:bookmarkEnd w:id="142"/>
      <w:bookmarkEnd w:id="143"/>
    </w:p>
    <w:p>
      <w:pPr>
        <w:spacing w:line="360" w:lineRule="auto"/>
        <w:ind w:firstLine="480" w:firstLineChars="200"/>
        <w:rPr>
          <w:sz w:val="24"/>
          <w:szCs w:val="24"/>
        </w:rPr>
      </w:pPr>
      <w:r>
        <w:rPr>
          <w:rFonts w:hint="eastAsia"/>
          <w:sz w:val="24"/>
          <w:szCs w:val="24"/>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pPr>
        <w:pStyle w:val="33"/>
        <w:numPr>
          <w:ilvl w:val="0"/>
          <w:numId w:val="23"/>
        </w:numPr>
        <w:spacing w:line="360" w:lineRule="auto"/>
        <w:ind w:firstLineChars="0"/>
        <w:rPr>
          <w:sz w:val="24"/>
          <w:szCs w:val="24"/>
        </w:rPr>
      </w:pPr>
      <w:r>
        <w:rPr>
          <w:rFonts w:hint="eastAsia"/>
          <w:sz w:val="24"/>
          <w:szCs w:val="24"/>
        </w:rPr>
        <w:t>项目评标小组依据商务标、技术标的评分方法，对各投标人分别进行量化打分。评分细则见评分表。</w:t>
      </w:r>
    </w:p>
    <w:p>
      <w:pPr>
        <w:pStyle w:val="33"/>
        <w:numPr>
          <w:ilvl w:val="0"/>
          <w:numId w:val="23"/>
        </w:numPr>
        <w:spacing w:line="360" w:lineRule="auto"/>
        <w:ind w:firstLineChars="0"/>
        <w:rPr>
          <w:sz w:val="24"/>
          <w:szCs w:val="24"/>
        </w:rPr>
      </w:pPr>
      <w:r>
        <w:rPr>
          <w:rFonts w:hint="eastAsia"/>
          <w:sz w:val="24"/>
          <w:szCs w:val="24"/>
        </w:rPr>
        <w:t>各投标人的综合排序按其商务标和技术标总得分的多少，从高到低进行。</w:t>
      </w:r>
    </w:p>
    <w:p>
      <w:pPr>
        <w:pStyle w:val="6"/>
      </w:pPr>
      <w:bookmarkStart w:id="144" w:name="_Toc493646024"/>
      <w:bookmarkStart w:id="145" w:name="_Toc16880"/>
      <w:r>
        <w:rPr>
          <w:rFonts w:hint="eastAsia"/>
        </w:rPr>
        <w:t>4.6.3评分标准</w:t>
      </w:r>
      <w:bookmarkEnd w:id="144"/>
      <w:bookmarkEnd w:id="145"/>
    </w:p>
    <w:p>
      <w:pPr>
        <w:pStyle w:val="33"/>
        <w:numPr>
          <w:ilvl w:val="0"/>
          <w:numId w:val="24"/>
        </w:numPr>
        <w:spacing w:line="360" w:lineRule="auto"/>
        <w:ind w:left="901" w:firstLineChars="0"/>
        <w:rPr>
          <w:sz w:val="24"/>
          <w:szCs w:val="24"/>
        </w:rPr>
      </w:pPr>
      <w:r>
        <w:rPr>
          <w:rFonts w:hint="eastAsia"/>
          <w:sz w:val="24"/>
          <w:szCs w:val="24"/>
        </w:rPr>
        <w:t>技术方案评分：评标委员会就投标人对本项目的需求理解、提出的设计方案、设备的选型及实施方案等满足招标需求的情况等按照评标办法进行打分。如果要求投标人提供样品的,则样品也是评标的依据。</w:t>
      </w:r>
    </w:p>
    <w:p>
      <w:pPr>
        <w:pStyle w:val="33"/>
        <w:numPr>
          <w:ilvl w:val="0"/>
          <w:numId w:val="24"/>
        </w:numPr>
        <w:spacing w:line="360" w:lineRule="auto"/>
        <w:ind w:left="901" w:firstLineChars="0"/>
        <w:rPr>
          <w:sz w:val="24"/>
          <w:szCs w:val="24"/>
        </w:rPr>
      </w:pPr>
      <w:r>
        <w:rPr>
          <w:rFonts w:hint="eastAsia"/>
          <w:sz w:val="24"/>
          <w:szCs w:val="24"/>
        </w:rPr>
        <w:t>商务评分：招投标小组负责</w:t>
      </w:r>
    </w:p>
    <w:p>
      <w:pPr>
        <w:pStyle w:val="33"/>
        <w:numPr>
          <w:ilvl w:val="0"/>
          <w:numId w:val="24"/>
        </w:numPr>
        <w:spacing w:line="360" w:lineRule="auto"/>
        <w:ind w:left="901" w:firstLineChars="0"/>
        <w:rPr>
          <w:sz w:val="24"/>
          <w:szCs w:val="24"/>
        </w:rPr>
      </w:pPr>
      <w:r>
        <w:rPr>
          <w:rFonts w:hint="eastAsia"/>
          <w:sz w:val="24"/>
          <w:szCs w:val="24"/>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pStyle w:val="33"/>
        <w:spacing w:line="360" w:lineRule="auto"/>
        <w:ind w:firstLine="0" w:firstLineChars="0"/>
        <w:rPr>
          <w:sz w:val="24"/>
          <w:szCs w:val="24"/>
          <w:highlight w:val="yellow"/>
        </w:rPr>
      </w:pPr>
    </w:p>
    <w:p>
      <w:pPr>
        <w:ind w:left="480"/>
        <w:rPr>
          <w:sz w:val="24"/>
          <w:szCs w:val="24"/>
        </w:rPr>
      </w:pPr>
    </w:p>
    <w:tbl>
      <w:tblPr>
        <w:tblStyle w:val="23"/>
        <w:tblW w:w="9300" w:type="dxa"/>
        <w:jc w:val="center"/>
        <w:tblLayout w:type="fixed"/>
        <w:tblCellMar>
          <w:top w:w="0" w:type="dxa"/>
          <w:left w:w="108" w:type="dxa"/>
          <w:bottom w:w="0" w:type="dxa"/>
          <w:right w:w="108" w:type="dxa"/>
        </w:tblCellMar>
      </w:tblPr>
      <w:tblGrid>
        <w:gridCol w:w="883"/>
        <w:gridCol w:w="1886"/>
        <w:gridCol w:w="2978"/>
        <w:gridCol w:w="2505"/>
        <w:gridCol w:w="1048"/>
      </w:tblGrid>
      <w:tr>
        <w:tblPrEx>
          <w:tblCellMar>
            <w:top w:w="0" w:type="dxa"/>
            <w:left w:w="108" w:type="dxa"/>
            <w:bottom w:w="0" w:type="dxa"/>
            <w:right w:w="108" w:type="dxa"/>
          </w:tblCellMar>
        </w:tblPrEx>
        <w:trPr>
          <w:trHeight w:val="452" w:hRule="atLeast"/>
          <w:jc w:val="center"/>
        </w:trPr>
        <w:tc>
          <w:tcPr>
            <w:tcW w:w="9300" w:type="dxa"/>
            <w:gridSpan w:val="5"/>
            <w:tcBorders>
              <w:top w:val="single" w:color="000000" w:sz="8" w:space="0"/>
              <w:left w:val="single" w:color="000000" w:sz="8" w:space="0"/>
              <w:bottom w:val="single" w:color="000000" w:sz="4" w:space="0"/>
              <w:right w:val="single" w:color="000000" w:sz="8" w:space="0"/>
            </w:tcBorders>
            <w:vAlign w:val="center"/>
          </w:tcPr>
          <w:p>
            <w:pPr>
              <w:jc w:val="center"/>
              <w:rPr>
                <w:color w:val="000000"/>
                <w:sz w:val="22"/>
              </w:rPr>
            </w:pPr>
            <w:r>
              <w:rPr>
                <w:rFonts w:hint="eastAsia"/>
                <w:b/>
                <w:bCs/>
                <w:color w:val="000000"/>
                <w:kern w:val="0"/>
                <w:szCs w:val="21"/>
              </w:rPr>
              <w:t>数字化私有云系统评分表（商务标）20%</w:t>
            </w:r>
          </w:p>
        </w:tc>
      </w:tr>
      <w:tr>
        <w:tblPrEx>
          <w:tblCellMar>
            <w:top w:w="0" w:type="dxa"/>
            <w:left w:w="108" w:type="dxa"/>
            <w:bottom w:w="0" w:type="dxa"/>
            <w:right w:w="108" w:type="dxa"/>
          </w:tblCellMar>
        </w:tblPrEx>
        <w:trPr>
          <w:trHeight w:val="391" w:hRule="atLeast"/>
          <w:jc w:val="center"/>
        </w:trPr>
        <w:tc>
          <w:tcPr>
            <w:tcW w:w="883"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序号</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评分项目</w:t>
            </w:r>
          </w:p>
        </w:tc>
        <w:tc>
          <w:tcPr>
            <w:tcW w:w="2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要求</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评分标准</w:t>
            </w:r>
          </w:p>
        </w:tc>
        <w:tc>
          <w:tcPr>
            <w:tcW w:w="1048"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color w:val="000000"/>
                <w:szCs w:val="21"/>
              </w:rPr>
            </w:pPr>
            <w:r>
              <w:rPr>
                <w:rFonts w:hint="eastAsia"/>
                <w:color w:val="000000"/>
                <w:kern w:val="0"/>
                <w:szCs w:val="21"/>
                <w:lang w:bidi="ar"/>
              </w:rPr>
              <w:t>得分</w:t>
            </w:r>
          </w:p>
        </w:tc>
      </w:tr>
      <w:tr>
        <w:tblPrEx>
          <w:tblCellMar>
            <w:top w:w="0" w:type="dxa"/>
            <w:left w:w="108" w:type="dxa"/>
            <w:bottom w:w="0" w:type="dxa"/>
            <w:right w:w="108" w:type="dxa"/>
          </w:tblCellMar>
        </w:tblPrEx>
        <w:trPr>
          <w:trHeight w:val="1853" w:hRule="atLeast"/>
          <w:jc w:val="center"/>
        </w:trPr>
        <w:tc>
          <w:tcPr>
            <w:tcW w:w="8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1</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企业资质（7）</w:t>
            </w:r>
          </w:p>
        </w:tc>
        <w:tc>
          <w:tcPr>
            <w:tcW w:w="29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r>
              <w:rPr>
                <w:rFonts w:hint="eastAsia"/>
                <w:color w:val="000000"/>
                <w:kern w:val="0"/>
                <w:szCs w:val="21"/>
                <w:lang w:bidi="ar"/>
              </w:rPr>
              <w:t>提供以下证书：</w:t>
            </w:r>
          </w:p>
          <w:p>
            <w:pPr>
              <w:widowControl/>
              <w:jc w:val="left"/>
              <w:textAlignment w:val="center"/>
              <w:rPr>
                <w:color w:val="000000"/>
                <w:kern w:val="0"/>
                <w:szCs w:val="21"/>
                <w:lang w:bidi="ar"/>
              </w:rPr>
            </w:pPr>
            <w:r>
              <w:rPr>
                <w:rFonts w:hint="eastAsia"/>
                <w:color w:val="000000"/>
                <w:kern w:val="0"/>
                <w:szCs w:val="21"/>
                <w:lang w:bidi="ar"/>
              </w:rPr>
              <w:t>1高新技术企业认证</w:t>
            </w:r>
          </w:p>
          <w:p>
            <w:pPr>
              <w:widowControl/>
              <w:jc w:val="left"/>
              <w:textAlignment w:val="center"/>
              <w:rPr>
                <w:color w:val="000000"/>
                <w:kern w:val="0"/>
                <w:szCs w:val="21"/>
                <w:lang w:bidi="ar"/>
              </w:rPr>
            </w:pPr>
            <w:r>
              <w:rPr>
                <w:rFonts w:hint="eastAsia"/>
                <w:color w:val="000000"/>
                <w:kern w:val="0"/>
                <w:szCs w:val="21"/>
                <w:lang w:bidi="ar"/>
              </w:rPr>
              <w:t>2售后服务五星认证；</w:t>
            </w:r>
          </w:p>
          <w:p>
            <w:pPr>
              <w:widowControl/>
              <w:jc w:val="left"/>
              <w:textAlignment w:val="center"/>
              <w:rPr>
                <w:color w:val="000000"/>
                <w:kern w:val="0"/>
                <w:szCs w:val="21"/>
                <w:lang w:bidi="ar"/>
              </w:rPr>
            </w:pPr>
            <w:r>
              <w:rPr>
                <w:rFonts w:hint="eastAsia"/>
                <w:color w:val="000000"/>
                <w:kern w:val="0"/>
                <w:szCs w:val="21"/>
                <w:lang w:bidi="ar"/>
              </w:rPr>
              <w:t>3、ITSS信息技术服务标准符合性证书</w:t>
            </w:r>
          </w:p>
          <w:p>
            <w:pPr>
              <w:widowControl/>
              <w:jc w:val="left"/>
              <w:textAlignment w:val="center"/>
              <w:rPr>
                <w:color w:val="000000"/>
                <w:kern w:val="0"/>
                <w:szCs w:val="21"/>
                <w:lang w:bidi="ar"/>
              </w:rPr>
            </w:pPr>
            <w:r>
              <w:rPr>
                <w:rFonts w:hint="eastAsia"/>
                <w:color w:val="000000"/>
                <w:kern w:val="0"/>
                <w:szCs w:val="21"/>
                <w:lang w:bidi="ar"/>
              </w:rPr>
              <w:t>4、IT产品信息安全认证证书；</w:t>
            </w:r>
          </w:p>
          <w:p>
            <w:pPr>
              <w:widowControl/>
              <w:jc w:val="left"/>
              <w:textAlignment w:val="center"/>
              <w:rPr>
                <w:color w:val="000000"/>
                <w:kern w:val="0"/>
                <w:szCs w:val="21"/>
                <w:lang w:bidi="ar"/>
              </w:rPr>
            </w:pPr>
            <w:r>
              <w:rPr>
                <w:rFonts w:hint="eastAsia"/>
                <w:color w:val="000000"/>
                <w:kern w:val="0"/>
                <w:szCs w:val="21"/>
                <w:lang w:bidi="ar"/>
              </w:rPr>
              <w:t>5、服务管理体系ISO20000认证证书资质</w:t>
            </w:r>
          </w:p>
          <w:p>
            <w:pPr>
              <w:widowControl/>
              <w:numPr>
                <w:ilvl w:val="0"/>
                <w:numId w:val="25"/>
              </w:numPr>
              <w:jc w:val="left"/>
              <w:textAlignment w:val="center"/>
              <w:rPr>
                <w:color w:val="000000"/>
                <w:kern w:val="0"/>
                <w:szCs w:val="21"/>
                <w:lang w:bidi="ar"/>
              </w:rPr>
            </w:pPr>
            <w:r>
              <w:rPr>
                <w:color w:val="000000"/>
                <w:kern w:val="0"/>
                <w:szCs w:val="21"/>
                <w:lang w:bidi="ar"/>
              </w:rPr>
              <w:t>企业信用等级证书AAA级</w:t>
            </w:r>
          </w:p>
          <w:p>
            <w:pPr>
              <w:widowControl/>
              <w:numPr>
                <w:ilvl w:val="0"/>
                <w:numId w:val="25"/>
              </w:numPr>
              <w:jc w:val="left"/>
              <w:textAlignment w:val="center"/>
              <w:rPr>
                <w:color w:val="000000"/>
                <w:kern w:val="0"/>
                <w:szCs w:val="21"/>
                <w:lang w:bidi="ar"/>
              </w:rPr>
            </w:pPr>
            <w:r>
              <w:rPr>
                <w:rFonts w:hint="eastAsia"/>
                <w:color w:val="000000"/>
                <w:kern w:val="0"/>
                <w:szCs w:val="21"/>
                <w:lang w:bidi="ar"/>
              </w:rPr>
              <w:t>国家企业信用信息公示系统”（http：//www.gsxt.gov.cn/）中未被列入严重违法失信企业名单的供应商网页截图</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同时满足7项要求的计7分。同时满足4-6项（含）的计3分；其它计0分。原件备查。</w:t>
            </w:r>
          </w:p>
        </w:tc>
        <w:tc>
          <w:tcPr>
            <w:tcW w:w="1048"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rPr>
            </w:pPr>
          </w:p>
        </w:tc>
      </w:tr>
      <w:tr>
        <w:tblPrEx>
          <w:tblCellMar>
            <w:top w:w="0" w:type="dxa"/>
            <w:left w:w="108" w:type="dxa"/>
            <w:bottom w:w="0" w:type="dxa"/>
            <w:right w:w="108" w:type="dxa"/>
          </w:tblCellMar>
        </w:tblPrEx>
        <w:trPr>
          <w:trHeight w:val="6001" w:hRule="atLeast"/>
          <w:jc w:val="center"/>
        </w:trPr>
        <w:tc>
          <w:tcPr>
            <w:tcW w:w="8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2</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自主产权认证</w:t>
            </w:r>
          </w:p>
          <w:p>
            <w:pPr>
              <w:widowControl/>
              <w:jc w:val="center"/>
              <w:textAlignment w:val="center"/>
              <w:rPr>
                <w:color w:val="000000"/>
                <w:kern w:val="0"/>
                <w:szCs w:val="21"/>
                <w:lang w:bidi="ar"/>
              </w:rPr>
            </w:pPr>
            <w:r>
              <w:rPr>
                <w:rFonts w:hint="eastAsia"/>
                <w:color w:val="000000"/>
                <w:kern w:val="0"/>
                <w:szCs w:val="21"/>
                <w:lang w:bidi="ar"/>
              </w:rPr>
              <w:t>（8）</w:t>
            </w:r>
          </w:p>
        </w:tc>
        <w:tc>
          <w:tcPr>
            <w:tcW w:w="29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r>
              <w:rPr>
                <w:rFonts w:hint="eastAsia"/>
                <w:color w:val="000000"/>
                <w:kern w:val="0"/>
                <w:szCs w:val="21"/>
                <w:lang w:bidi="ar"/>
              </w:rPr>
              <w:t>提供以下证书：</w:t>
            </w:r>
          </w:p>
          <w:p>
            <w:pPr>
              <w:widowControl/>
              <w:jc w:val="left"/>
              <w:textAlignment w:val="center"/>
              <w:rPr>
                <w:color w:val="000000"/>
                <w:kern w:val="0"/>
                <w:szCs w:val="21"/>
                <w:lang w:bidi="ar"/>
              </w:rPr>
            </w:pPr>
            <w:r>
              <w:rPr>
                <w:rFonts w:hint="eastAsia"/>
                <w:color w:val="000000"/>
                <w:kern w:val="0"/>
                <w:szCs w:val="21"/>
                <w:lang w:bidi="ar"/>
              </w:rPr>
              <w:t>1、 相关私有云系统软件著作权证书</w:t>
            </w:r>
          </w:p>
          <w:p>
            <w:pPr>
              <w:widowControl/>
              <w:jc w:val="left"/>
              <w:textAlignment w:val="center"/>
              <w:rPr>
                <w:rFonts w:hint="eastAsia"/>
                <w:color w:val="000000"/>
                <w:kern w:val="0"/>
                <w:szCs w:val="21"/>
                <w:lang w:bidi="ar"/>
              </w:rPr>
            </w:pPr>
            <w:r>
              <w:rPr>
                <w:color w:val="000000"/>
                <w:kern w:val="0"/>
                <w:szCs w:val="21"/>
                <w:lang w:bidi="ar"/>
              </w:rPr>
              <w:t>2</w:t>
            </w:r>
            <w:r>
              <w:rPr>
                <w:rFonts w:hint="eastAsia"/>
                <w:color w:val="000000"/>
                <w:kern w:val="0"/>
                <w:szCs w:val="21"/>
                <w:lang w:bidi="ar"/>
              </w:rPr>
              <w:t>、 相关私有云系统管理平台著作权证书</w:t>
            </w:r>
          </w:p>
          <w:p>
            <w:pPr>
              <w:widowControl/>
              <w:jc w:val="left"/>
              <w:textAlignment w:val="center"/>
              <w:rPr>
                <w:color w:val="000000"/>
                <w:szCs w:val="21"/>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lang w:bidi="ar"/>
              </w:rPr>
            </w:pPr>
          </w:p>
          <w:p>
            <w:pPr>
              <w:widowControl/>
              <w:jc w:val="left"/>
              <w:textAlignment w:val="center"/>
              <w:rPr>
                <w:color w:val="000000"/>
                <w:szCs w:val="21"/>
              </w:rPr>
            </w:pPr>
            <w:r>
              <w:rPr>
                <w:rFonts w:hint="eastAsia"/>
                <w:color w:val="000000"/>
                <w:kern w:val="0"/>
                <w:szCs w:val="21"/>
                <w:lang w:bidi="ar"/>
              </w:rPr>
              <w:t>同时满足</w:t>
            </w:r>
            <w:r>
              <w:rPr>
                <w:color w:val="000000"/>
                <w:kern w:val="0"/>
                <w:szCs w:val="21"/>
                <w:lang w:bidi="ar"/>
              </w:rPr>
              <w:t>2</w:t>
            </w:r>
            <w:r>
              <w:rPr>
                <w:rFonts w:hint="eastAsia"/>
                <w:color w:val="000000"/>
                <w:kern w:val="0"/>
                <w:szCs w:val="21"/>
                <w:lang w:bidi="ar"/>
              </w:rPr>
              <w:t>项要求的计8分。满足</w:t>
            </w:r>
            <w:r>
              <w:rPr>
                <w:color w:val="000000"/>
                <w:kern w:val="0"/>
                <w:szCs w:val="21"/>
                <w:lang w:bidi="ar"/>
              </w:rPr>
              <w:t>1</w:t>
            </w:r>
            <w:r>
              <w:rPr>
                <w:rFonts w:hint="eastAsia"/>
                <w:color w:val="000000"/>
                <w:kern w:val="0"/>
                <w:szCs w:val="21"/>
                <w:lang w:bidi="ar"/>
              </w:rPr>
              <w:t>（含）的计5分；其它计0分。原件备查。</w:t>
            </w:r>
          </w:p>
        </w:tc>
        <w:tc>
          <w:tcPr>
            <w:tcW w:w="1048"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rPr>
            </w:pPr>
          </w:p>
        </w:tc>
      </w:tr>
      <w:tr>
        <w:tblPrEx>
          <w:tblCellMar>
            <w:top w:w="0" w:type="dxa"/>
            <w:left w:w="108" w:type="dxa"/>
            <w:bottom w:w="0" w:type="dxa"/>
            <w:right w:w="108" w:type="dxa"/>
          </w:tblCellMar>
        </w:tblPrEx>
        <w:trPr>
          <w:trHeight w:val="1563" w:hRule="atLeast"/>
          <w:jc w:val="center"/>
        </w:trPr>
        <w:tc>
          <w:tcPr>
            <w:tcW w:w="8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rPr>
            </w:pPr>
            <w:r>
              <w:rPr>
                <w:rFonts w:hint="eastAsia"/>
                <w:color w:val="000000"/>
                <w:kern w:val="0"/>
                <w:sz w:val="22"/>
                <w:lang w:bidi="ar"/>
              </w:rPr>
              <w:t>3</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项目案例（5）</w:t>
            </w:r>
          </w:p>
        </w:tc>
        <w:tc>
          <w:tcPr>
            <w:tcW w:w="29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根据投标人案例进行评分。</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color w:val="000000"/>
                <w:kern w:val="0"/>
                <w:szCs w:val="21"/>
                <w:lang w:bidi="ar"/>
              </w:rPr>
              <w:t>投标人提供相似项目的案例至少5个，提供5个得5分，提供3-4个得3分，其他不得分。</w:t>
            </w:r>
          </w:p>
        </w:tc>
        <w:tc>
          <w:tcPr>
            <w:tcW w:w="1048"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rPr>
            </w:pPr>
          </w:p>
        </w:tc>
      </w:tr>
    </w:tbl>
    <w:tbl>
      <w:tblPr>
        <w:tblStyle w:val="38"/>
        <w:tblpPr w:leftFromText="180" w:rightFromText="180" w:vertAnchor="text" w:horzAnchor="page" w:tblpX="1344" w:tblpY="2947"/>
        <w:tblOverlap w:val="never"/>
        <w:tblW w:w="9111" w:type="dxa"/>
        <w:tblInd w:w="0" w:type="dxa"/>
        <w:tblLayout w:type="autofit"/>
        <w:tblCellMar>
          <w:top w:w="38" w:type="dxa"/>
          <w:left w:w="36" w:type="dxa"/>
          <w:bottom w:w="0" w:type="dxa"/>
          <w:right w:w="70" w:type="dxa"/>
        </w:tblCellMar>
      </w:tblPr>
      <w:tblGrid>
        <w:gridCol w:w="810"/>
        <w:gridCol w:w="1610"/>
        <w:gridCol w:w="5274"/>
        <w:gridCol w:w="1417"/>
      </w:tblGrid>
      <w:tr>
        <w:tblPrEx>
          <w:tblCellMar>
            <w:top w:w="38" w:type="dxa"/>
            <w:left w:w="36" w:type="dxa"/>
            <w:bottom w:w="0" w:type="dxa"/>
            <w:right w:w="70" w:type="dxa"/>
          </w:tblCellMar>
        </w:tblPrEx>
        <w:tc>
          <w:tcPr>
            <w:tcW w:w="7694" w:type="dxa"/>
            <w:gridSpan w:val="3"/>
            <w:tcBorders>
              <w:top w:val="single" w:color="000000" w:sz="8" w:space="0"/>
              <w:left w:val="single" w:color="000000" w:sz="8" w:space="0"/>
              <w:bottom w:val="single" w:color="000000" w:sz="8" w:space="0"/>
              <w:right w:val="nil"/>
            </w:tcBorders>
            <w:vAlign w:val="center"/>
          </w:tcPr>
          <w:p>
            <w:pPr>
              <w:widowControl/>
              <w:ind w:firstLine="402"/>
              <w:jc w:val="center"/>
              <w:rPr>
                <w:b/>
                <w:bCs/>
                <w:color w:val="000000"/>
                <w:kern w:val="0"/>
                <w:szCs w:val="21"/>
              </w:rPr>
            </w:pPr>
            <w:r>
              <w:rPr>
                <w:rFonts w:hint="eastAsia"/>
                <w:b/>
                <w:bCs/>
                <w:color w:val="000000"/>
                <w:kern w:val="0"/>
                <w:szCs w:val="21"/>
              </w:rPr>
              <w:t>托管云评分表（技术标）80%</w:t>
            </w:r>
          </w:p>
        </w:tc>
        <w:tc>
          <w:tcPr>
            <w:tcW w:w="1417" w:type="dxa"/>
            <w:tcBorders>
              <w:top w:val="single" w:color="000000" w:sz="8" w:space="0"/>
              <w:left w:val="nil"/>
              <w:bottom w:val="single" w:color="000000" w:sz="8" w:space="0"/>
              <w:right w:val="single" w:color="000000" w:sz="8" w:space="0"/>
            </w:tcBorders>
            <w:vAlign w:val="center"/>
          </w:tcPr>
          <w:p>
            <w:pPr>
              <w:widowControl/>
              <w:ind w:firstLine="402"/>
              <w:jc w:val="center"/>
              <w:rPr>
                <w:b/>
                <w:bCs/>
                <w:color w:val="000000"/>
                <w:kern w:val="0"/>
                <w:szCs w:val="21"/>
              </w:rPr>
            </w:pP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序号</w:t>
            </w:r>
          </w:p>
        </w:tc>
        <w:tc>
          <w:tcPr>
            <w:tcW w:w="161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评分项目</w:t>
            </w:r>
          </w:p>
        </w:tc>
        <w:tc>
          <w:tcPr>
            <w:tcW w:w="5274"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评分标准</w:t>
            </w:r>
          </w:p>
        </w:tc>
        <w:tc>
          <w:tcPr>
            <w:tcW w:w="1417"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得分</w:t>
            </w: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rPr>
              <w:t>1</w:t>
            </w:r>
          </w:p>
        </w:tc>
        <w:tc>
          <w:tcPr>
            <w:tcW w:w="1610" w:type="dxa"/>
            <w:tcBorders>
              <w:top w:val="single" w:color="000000" w:sz="8" w:space="0"/>
              <w:left w:val="single" w:color="000000" w:sz="8" w:space="0"/>
              <w:bottom w:val="single" w:color="000000" w:sz="8" w:space="0"/>
              <w:right w:val="single" w:color="000000" w:sz="8" w:space="0"/>
            </w:tcBorders>
          </w:tcPr>
          <w:p>
            <w:pPr>
              <w:rPr>
                <w:szCs w:val="21"/>
              </w:rPr>
            </w:pPr>
            <w:r>
              <w:rPr>
                <w:rFonts w:hint="eastAsia"/>
              </w:rPr>
              <w:t>可用性（5分）</w:t>
            </w:r>
          </w:p>
        </w:tc>
        <w:tc>
          <w:tcPr>
            <w:tcW w:w="5274" w:type="dxa"/>
            <w:tcBorders>
              <w:top w:val="single" w:color="000000" w:sz="8" w:space="0"/>
              <w:left w:val="single" w:color="000000" w:sz="8" w:space="0"/>
              <w:bottom w:val="single" w:color="000000" w:sz="8" w:space="0"/>
              <w:right w:val="single" w:color="000000" w:sz="8" w:space="0"/>
            </w:tcBorders>
          </w:tcPr>
          <w:p>
            <w:pPr>
              <w:widowControl/>
              <w:ind w:left="113"/>
              <w:jc w:val="left"/>
              <w:rPr>
                <w:szCs w:val="21"/>
              </w:rPr>
            </w:pPr>
            <w:r>
              <w:rPr>
                <w:rFonts w:hint="eastAsia"/>
              </w:rPr>
              <w:t>提供不低于99.9%的系统整体可用性保障（5分）</w:t>
            </w:r>
            <w:r>
              <w:rPr>
                <w:rFonts w:hint="eastAsia"/>
              </w:rPr>
              <w:br w:type="textWrapping"/>
            </w:r>
            <w:r>
              <w:rPr>
                <w:rFonts w:hint="eastAsia"/>
              </w:rPr>
              <w:t>注：需提供证明文件</w:t>
            </w:r>
          </w:p>
        </w:tc>
        <w:tc>
          <w:tcPr>
            <w:tcW w:w="1417" w:type="dxa"/>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r>
        <w:tblPrEx>
          <w:tblCellMar>
            <w:top w:w="38" w:type="dxa"/>
            <w:left w:w="36" w:type="dxa"/>
            <w:bottom w:w="0" w:type="dxa"/>
            <w:right w:w="70" w:type="dxa"/>
          </w:tblCellMar>
        </w:tblPrEx>
        <w:tc>
          <w:tcPr>
            <w:tcW w:w="81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2</w:t>
            </w:r>
          </w:p>
        </w:tc>
        <w:tc>
          <w:tcPr>
            <w:tcW w:w="1610" w:type="dxa"/>
            <w:tcBorders>
              <w:top w:val="single" w:color="000000" w:sz="8" w:space="0"/>
              <w:left w:val="single" w:color="000000" w:sz="8" w:space="0"/>
              <w:bottom w:val="single" w:color="000000" w:sz="8" w:space="0"/>
              <w:right w:val="single" w:color="000000" w:sz="8" w:space="0"/>
            </w:tcBorders>
            <w:vAlign w:val="center"/>
          </w:tcPr>
          <w:p>
            <w:pPr>
              <w:rPr>
                <w:szCs w:val="21"/>
              </w:rPr>
            </w:pPr>
            <w:r>
              <w:rPr>
                <w:rFonts w:hint="eastAsia"/>
                <w:szCs w:val="21"/>
              </w:rPr>
              <w:t>项目经验（</w:t>
            </w:r>
            <w:r>
              <w:rPr>
                <w:szCs w:val="21"/>
              </w:rPr>
              <w:t>1</w:t>
            </w:r>
            <w:r>
              <w:rPr>
                <w:rFonts w:hint="eastAsia"/>
                <w:szCs w:val="21"/>
              </w:rPr>
              <w:t>0分）</w:t>
            </w:r>
          </w:p>
        </w:tc>
        <w:tc>
          <w:tcPr>
            <w:tcW w:w="5274" w:type="dxa"/>
            <w:tcBorders>
              <w:top w:val="single" w:color="000000" w:sz="8" w:space="0"/>
              <w:left w:val="single" w:color="000000" w:sz="8" w:space="0"/>
              <w:bottom w:val="single" w:color="000000" w:sz="8" w:space="0"/>
              <w:right w:val="single" w:color="000000" w:sz="8" w:space="0"/>
            </w:tcBorders>
            <w:vAlign w:val="center"/>
          </w:tcPr>
          <w:p>
            <w:pPr>
              <w:widowControl/>
              <w:jc w:val="left"/>
            </w:pPr>
            <w:r>
              <w:rPr>
                <w:rFonts w:hint="eastAsia"/>
                <w:szCs w:val="21"/>
              </w:rPr>
              <w:t>承接过5个及以上规模更大，需求类似的项目（5分）</w:t>
            </w:r>
            <w:r>
              <w:rPr>
                <w:szCs w:val="21"/>
              </w:rPr>
              <w:br w:type="textWrapping"/>
            </w:r>
            <w:r>
              <w:rPr>
                <w:rFonts w:hint="eastAsia"/>
                <w:szCs w:val="21"/>
              </w:rPr>
              <w:t>承接过</w:t>
            </w:r>
            <w:r>
              <w:rPr>
                <w:szCs w:val="21"/>
              </w:rPr>
              <w:t>3个及以上规模更大，需求类似的项目（3分）</w:t>
            </w:r>
            <w:r>
              <w:rPr>
                <w:szCs w:val="21"/>
              </w:rPr>
              <w:br w:type="textWrapping"/>
            </w:r>
            <w:r>
              <w:rPr>
                <w:rFonts w:hint="eastAsia"/>
                <w:szCs w:val="21"/>
              </w:rPr>
              <w:t>承接过</w:t>
            </w:r>
            <w:r>
              <w:rPr>
                <w:szCs w:val="21"/>
              </w:rPr>
              <w:t>1个及</w:t>
            </w:r>
            <w:r>
              <w:rPr>
                <w:rFonts w:hint="eastAsia"/>
                <w:szCs w:val="21"/>
              </w:rPr>
              <w:t>以下</w:t>
            </w:r>
            <w:r>
              <w:rPr>
                <w:szCs w:val="21"/>
              </w:rPr>
              <w:t>规模更大，需求类似的项目（1分）</w:t>
            </w:r>
            <w:r>
              <w:rPr>
                <w:szCs w:val="21"/>
              </w:rPr>
              <w:br w:type="textWrapping"/>
            </w:r>
            <w:r>
              <w:rPr>
                <w:rFonts w:hint="eastAsia"/>
                <w:b/>
                <w:bCs/>
                <w:szCs w:val="21"/>
              </w:rPr>
              <w:t>注：需提供相关证明文件</w:t>
            </w:r>
          </w:p>
        </w:tc>
        <w:tc>
          <w:tcPr>
            <w:tcW w:w="1417" w:type="dxa"/>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r>
        <w:tblPrEx>
          <w:tblCellMar>
            <w:top w:w="38" w:type="dxa"/>
            <w:left w:w="36" w:type="dxa"/>
            <w:bottom w:w="0" w:type="dxa"/>
            <w:right w:w="70" w:type="dxa"/>
          </w:tblCellMar>
        </w:tblPrEx>
        <w:tc>
          <w:tcPr>
            <w:tcW w:w="810" w:type="dxa"/>
            <w:tcBorders>
              <w:left w:val="single" w:color="000000" w:sz="8" w:space="0"/>
              <w:bottom w:val="single" w:color="000000" w:sz="8" w:space="0"/>
              <w:right w:val="single" w:color="000000" w:sz="8" w:space="0"/>
            </w:tcBorders>
            <w:vAlign w:val="center"/>
          </w:tcPr>
          <w:p>
            <w:pPr>
              <w:jc w:val="center"/>
              <w:rPr>
                <w:szCs w:val="21"/>
              </w:rPr>
            </w:pPr>
            <w:r>
              <w:rPr>
                <w:szCs w:val="21"/>
              </w:rPr>
              <w:t>3</w:t>
            </w:r>
          </w:p>
        </w:tc>
        <w:tc>
          <w:tcPr>
            <w:tcW w:w="1610" w:type="dxa"/>
            <w:tcBorders>
              <w:left w:val="single" w:color="000000" w:sz="8" w:space="0"/>
              <w:bottom w:val="single" w:color="000000" w:sz="8" w:space="0"/>
              <w:right w:val="single" w:color="000000" w:sz="8" w:space="0"/>
            </w:tcBorders>
            <w:vAlign w:val="center"/>
          </w:tcPr>
          <w:p>
            <w:pPr>
              <w:rPr>
                <w:szCs w:val="21"/>
              </w:rPr>
            </w:pPr>
            <w:r>
              <w:rPr>
                <w:rFonts w:hint="eastAsia"/>
                <w:szCs w:val="21"/>
              </w:rPr>
              <w:t>技术需求符合性（</w:t>
            </w:r>
            <w:r>
              <w:rPr>
                <w:szCs w:val="21"/>
              </w:rPr>
              <w:t>6</w:t>
            </w:r>
            <w:r>
              <w:rPr>
                <w:rFonts w:hint="eastAsia"/>
                <w:szCs w:val="21"/>
              </w:rPr>
              <w:t>5分）</w:t>
            </w:r>
          </w:p>
        </w:tc>
        <w:tc>
          <w:tcPr>
            <w:tcW w:w="5274" w:type="dxa"/>
            <w:tcBorders>
              <w:top w:val="single" w:color="000000" w:sz="8" w:space="0"/>
              <w:left w:val="single" w:color="000000" w:sz="8" w:space="0"/>
              <w:bottom w:val="single" w:color="000000" w:sz="8" w:space="0"/>
              <w:right w:val="single" w:color="000000" w:sz="8" w:space="0"/>
            </w:tcBorders>
            <w:vAlign w:val="center"/>
          </w:tcPr>
          <w:p>
            <w:pPr>
              <w:pStyle w:val="35"/>
              <w:numPr>
                <w:ilvl w:val="0"/>
                <w:numId w:val="26"/>
              </w:numPr>
              <w:ind w:firstLine="420" w:firstLineChars="0"/>
            </w:pPr>
            <w:r>
              <w:t>资源管理：资源管理是托管云平台的核心功能之一，它包括虚拟机、容器、存储、网络等资源的创建、修改、删除、备份、恢复等操作。托管云平台应该提供直观、易用的资源管理界面和工具，可以轻松地管理云资源。</w:t>
            </w:r>
            <w:r>
              <w:rPr>
                <w:rFonts w:hint="eastAsia"/>
              </w:rPr>
              <w:t>(5分)</w:t>
            </w:r>
          </w:p>
          <w:p>
            <w:pPr>
              <w:pStyle w:val="35"/>
              <w:numPr>
                <w:ilvl w:val="0"/>
                <w:numId w:val="26"/>
              </w:numPr>
              <w:ind w:firstLine="420" w:firstLineChars="0"/>
            </w:pPr>
            <w:r>
              <w:t>监控和管理：托管云平台应该提供多种监控和管理工具，可以轻松地监控和管理云资源。这些工具可以实时监测云资源的使用情况、性能、安全等方面，并提供实时警报和提醒，以便快速响应和处理异常情况。</w:t>
            </w:r>
            <w:r>
              <w:rPr>
                <w:rFonts w:hint="eastAsia"/>
              </w:rPr>
              <w:t>(5分)</w:t>
            </w:r>
          </w:p>
          <w:p>
            <w:pPr>
              <w:pStyle w:val="35"/>
              <w:numPr>
                <w:ilvl w:val="0"/>
                <w:numId w:val="26"/>
              </w:numPr>
              <w:ind w:firstLine="420" w:firstLineChars="0"/>
            </w:pPr>
            <w:r>
              <w:t>安全性：托管云平台应该提供完善的安全措施，以保护数据安全和隐私。这些安全措施包括访问控制、加密、身份认证、审计、漏洞检测等，以确保云平台的安全性和可靠性。</w:t>
            </w:r>
            <w:r>
              <w:rPr>
                <w:rFonts w:hint="eastAsia"/>
              </w:rPr>
              <w:t>(</w:t>
            </w:r>
            <w:r>
              <w:t>8</w:t>
            </w:r>
            <w:r>
              <w:rPr>
                <w:rFonts w:hint="eastAsia"/>
              </w:rPr>
              <w:t>分)</w:t>
            </w:r>
          </w:p>
          <w:p>
            <w:pPr>
              <w:pStyle w:val="35"/>
              <w:numPr>
                <w:ilvl w:val="0"/>
                <w:numId w:val="26"/>
              </w:numPr>
              <w:ind w:firstLine="420" w:firstLineChars="0"/>
            </w:pPr>
            <w:r>
              <w:t>容量规划和扩展：托管云平台应该提供容量规划和扩展工具，可以轻松地规划和管理云资源的容量。这些工具应该可以实时监测云资源的使用情况，并根据业务需求的变化动态调整云资源，以提高云资源的利用率和效率。</w:t>
            </w:r>
            <w:r>
              <w:rPr>
                <w:rFonts w:hint="eastAsia"/>
              </w:rPr>
              <w:t>(5分)</w:t>
            </w:r>
          </w:p>
          <w:p>
            <w:pPr>
              <w:pStyle w:val="35"/>
              <w:numPr>
                <w:ilvl w:val="0"/>
                <w:numId w:val="26"/>
              </w:numPr>
              <w:ind w:firstLine="420" w:firstLineChars="0"/>
            </w:pPr>
            <w:r>
              <w:t>数据备份和恢复：托管云平台应该提供数据备份和恢复工具，可以轻松地备份和恢复数据。可以支持多种备份方式，如增量备份、全量备份等，并提供多种恢复模式，如快速恢复、按需恢复等，以便快速恢复数据和应用。</w:t>
            </w:r>
            <w:r>
              <w:rPr>
                <w:rFonts w:hint="eastAsia"/>
              </w:rPr>
              <w:t>(5分)</w:t>
            </w:r>
          </w:p>
          <w:p>
            <w:pPr>
              <w:pStyle w:val="35"/>
              <w:numPr>
                <w:ilvl w:val="0"/>
                <w:numId w:val="26"/>
              </w:numPr>
              <w:ind w:firstLine="420" w:firstLineChars="0"/>
            </w:pPr>
            <w:r>
              <w:t>弹性伸缩：托管云平台应该提供弹性伸缩工具，可以根据业务需求的变化动态调整云资源。这些工具应该可以自动识别业务需求的变化，并根据需求变化动态调整云资源的数量和类型，以提高云资源的利用率和效率。</w:t>
            </w:r>
            <w:r>
              <w:rPr>
                <w:rFonts w:hint="eastAsia"/>
              </w:rPr>
              <w:t>(5分)</w:t>
            </w:r>
          </w:p>
          <w:p>
            <w:pPr>
              <w:pStyle w:val="35"/>
              <w:numPr>
                <w:ilvl w:val="0"/>
                <w:numId w:val="26"/>
              </w:numPr>
              <w:ind w:firstLine="420" w:firstLineChars="0"/>
            </w:pPr>
            <w:r>
              <w:t>资源调度：托管云平台应该提供资源调度功能，以优化云资源的使用和效率。可以根据业务需求和负载情况自动调整云资源的数量和类型，以提高云资源的利用率和效率。</w:t>
            </w:r>
            <w:r>
              <w:rPr>
                <w:rFonts w:hint="eastAsia"/>
              </w:rPr>
              <w:t>(5分)</w:t>
            </w:r>
          </w:p>
          <w:p>
            <w:pPr>
              <w:pStyle w:val="35"/>
              <w:numPr>
                <w:ilvl w:val="0"/>
                <w:numId w:val="26"/>
              </w:numPr>
              <w:ind w:firstLine="420" w:firstLineChars="0"/>
            </w:pPr>
            <w:r>
              <w:t>数据存储和管理：托管云平台应该提供数据存储和管理功能，以支持存储和管理数据。支持多种数据存储方式，如磁盘存储、对象存储等，并提供高效的数据备份和恢复机制，以保证数据的安全性和可靠性。</w:t>
            </w:r>
            <w:r>
              <w:rPr>
                <w:rFonts w:hint="eastAsia"/>
              </w:rPr>
              <w:t>(5分)</w:t>
            </w:r>
          </w:p>
          <w:p>
            <w:pPr>
              <w:pStyle w:val="35"/>
              <w:numPr>
                <w:ilvl w:val="0"/>
                <w:numId w:val="26"/>
              </w:numPr>
              <w:ind w:firstLine="420" w:firstLineChars="0"/>
            </w:pPr>
            <w:r>
              <w:t xml:space="preserve">网络管理：托管云平台应该提供网络管理功能，以支持管理和配置网络。支持多种网络配置方式，如虚拟私有网络 (VPC)、虚拟专用网络 (VPN) </w:t>
            </w:r>
            <w:r>
              <w:rPr>
                <w:rFonts w:hint="eastAsia"/>
              </w:rPr>
              <w:t>、公网NAT网关</w:t>
            </w:r>
            <w:r>
              <w:t>等，并提供高效的网络备份和恢复机制，以保证网络的稳定性和可靠性。</w:t>
            </w:r>
            <w:r>
              <w:rPr>
                <w:rFonts w:hint="eastAsia"/>
              </w:rPr>
              <w:t>(5分)</w:t>
            </w:r>
          </w:p>
          <w:p>
            <w:pPr>
              <w:pStyle w:val="35"/>
              <w:numPr>
                <w:ilvl w:val="0"/>
                <w:numId w:val="26"/>
              </w:numPr>
              <w:ind w:firstLine="420" w:firstLineChars="0"/>
            </w:pPr>
            <w:r>
              <w:t>资源隔离：托管云平台应该提供资源隔离功能，以保护用户的数据安全和隐私、可靠性。</w:t>
            </w:r>
            <w:r>
              <w:rPr>
                <w:rFonts w:hint="eastAsia"/>
              </w:rPr>
              <w:t>(</w:t>
            </w:r>
            <w:r>
              <w:t>7</w:t>
            </w:r>
            <w:r>
              <w:rPr>
                <w:rFonts w:hint="eastAsia"/>
              </w:rPr>
              <w:t>分)</w:t>
            </w:r>
          </w:p>
          <w:p>
            <w:pPr>
              <w:widowControl/>
              <w:numPr>
                <w:ilvl w:val="0"/>
                <w:numId w:val="26"/>
              </w:numPr>
              <w:ind w:firstLine="420"/>
              <w:jc w:val="left"/>
            </w:pPr>
            <w:r>
              <w:rPr>
                <w:rFonts w:hint="eastAsia"/>
              </w:rPr>
              <w:t>API</w:t>
            </w:r>
            <w:r>
              <w:t>支持：托管云平台应该提供多语言</w:t>
            </w:r>
            <w:r>
              <w:rPr>
                <w:rFonts w:hint="eastAsia"/>
              </w:rPr>
              <w:t>API</w:t>
            </w:r>
            <w:r>
              <w:t>支持功能，这些</w:t>
            </w:r>
            <w:r>
              <w:rPr>
                <w:rFonts w:hint="eastAsia"/>
              </w:rPr>
              <w:t>API功能应该支持对平台的所有资源以及模块进行API操作。(</w:t>
            </w:r>
            <w:r>
              <w:t>5</w:t>
            </w:r>
            <w:r>
              <w:rPr>
                <w:rFonts w:hint="eastAsia"/>
              </w:rPr>
              <w:t>分)</w:t>
            </w:r>
          </w:p>
          <w:p>
            <w:pPr>
              <w:pStyle w:val="35"/>
              <w:numPr>
                <w:ilvl w:val="0"/>
                <w:numId w:val="26"/>
              </w:numPr>
              <w:ind w:firstLine="420" w:firstLineChars="0"/>
            </w:pPr>
            <w:r>
              <w:t>自动化脚本管理：托管云平台应该提供自动化脚本管理功能，以支持自动化部署和管理应用程序。支持自动化脚本的编写和部署，以便可以快速自动化部署和管理应用程序，以提高部署效率和可靠性。</w:t>
            </w:r>
            <w:r>
              <w:rPr>
                <w:rFonts w:hint="eastAsia"/>
              </w:rPr>
              <w:t>(</w:t>
            </w:r>
            <w:r>
              <w:t>5</w:t>
            </w:r>
            <w:r>
              <w:rPr>
                <w:rFonts w:hint="eastAsia"/>
              </w:rPr>
              <w:t>分)</w:t>
            </w:r>
          </w:p>
          <w:p>
            <w:pPr>
              <w:pStyle w:val="2"/>
            </w:pPr>
          </w:p>
        </w:tc>
        <w:tc>
          <w:tcPr>
            <w:tcW w:w="1417" w:type="dxa"/>
            <w:tcBorders>
              <w:top w:val="single" w:color="000000" w:sz="8" w:space="0"/>
              <w:left w:val="single" w:color="000000" w:sz="8" w:space="0"/>
              <w:bottom w:val="single" w:color="000000" w:sz="8" w:space="0"/>
              <w:right w:val="single" w:color="000000" w:sz="8" w:space="0"/>
            </w:tcBorders>
            <w:vAlign w:val="center"/>
          </w:tcPr>
          <w:p>
            <w:pPr>
              <w:ind w:firstLine="400"/>
              <w:rPr>
                <w:szCs w:val="21"/>
              </w:rPr>
            </w:pPr>
          </w:p>
        </w:tc>
      </w:tr>
    </w:tbl>
    <w:p>
      <w:pPr>
        <w:rPr>
          <w:szCs w:val="21"/>
        </w:rPr>
      </w:pPr>
    </w:p>
    <w:p>
      <w:pPr>
        <w:snapToGrid w:val="0"/>
        <w:spacing w:line="360" w:lineRule="auto"/>
        <w:ind w:firstLine="420"/>
        <w:rPr>
          <w:sz w:val="24"/>
          <w:szCs w:val="24"/>
          <w:highlight w:val="yellow"/>
        </w:rPr>
      </w:pPr>
    </w:p>
    <w:p>
      <w:pPr>
        <w:snapToGrid w:val="0"/>
        <w:spacing w:line="360" w:lineRule="auto"/>
        <w:ind w:firstLine="420"/>
        <w:rPr>
          <w:sz w:val="24"/>
          <w:szCs w:val="24"/>
          <w:highlight w:val="yellow"/>
        </w:rPr>
      </w:pPr>
    </w:p>
    <w:p>
      <w:pPr>
        <w:snapToGrid w:val="0"/>
        <w:spacing w:line="360" w:lineRule="auto"/>
        <w:ind w:firstLine="420"/>
        <w:rPr>
          <w:sz w:val="24"/>
          <w:szCs w:val="24"/>
          <w:highlight w:val="yellow"/>
        </w:rPr>
      </w:pPr>
      <w:r>
        <w:rPr>
          <w:rFonts w:hint="eastAsia"/>
          <w:sz w:val="24"/>
          <w:szCs w:val="24"/>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
      <w:pPr>
        <w:pStyle w:val="21"/>
        <w:rPr>
          <w:color w:val="FF0000"/>
          <w:sz w:val="24"/>
        </w:rPr>
      </w:pPr>
      <w:r>
        <w:rPr>
          <w:rFonts w:hint="eastAsia"/>
        </w:rPr>
        <w:t>第五章： 参考部分</w:t>
      </w:r>
    </w:p>
    <w:p>
      <w:pPr>
        <w:spacing w:line="360" w:lineRule="auto"/>
        <w:rPr>
          <w:sz w:val="24"/>
        </w:rPr>
      </w:pPr>
      <w:r>
        <w:rPr>
          <w:rFonts w:hint="eastAsia"/>
          <w:sz w:val="24"/>
        </w:rPr>
        <w:t>附表一：</w:t>
      </w:r>
    </w:p>
    <w:p>
      <w:pPr>
        <w:pStyle w:val="10"/>
      </w:pPr>
    </w:p>
    <w:p>
      <w:pPr>
        <w:snapToGrid w:val="0"/>
        <w:spacing w:line="300" w:lineRule="auto"/>
        <w:ind w:left="482"/>
        <w:jc w:val="center"/>
        <w:rPr>
          <w:b/>
          <w:bCs/>
          <w:spacing w:val="40"/>
          <w:sz w:val="32"/>
          <w:szCs w:val="28"/>
        </w:rPr>
      </w:pPr>
      <w:r>
        <w:rPr>
          <w:rFonts w:hint="eastAsia"/>
          <w:b/>
          <w:bCs/>
          <w:spacing w:val="40"/>
          <w:sz w:val="32"/>
          <w:szCs w:val="28"/>
        </w:rPr>
        <w:t>投标书</w:t>
      </w:r>
    </w:p>
    <w:p>
      <w:pPr>
        <w:snapToGrid w:val="0"/>
        <w:spacing w:line="360" w:lineRule="auto"/>
        <w:rPr>
          <w:sz w:val="24"/>
        </w:rPr>
      </w:pPr>
      <w:r>
        <w:rPr>
          <w:rFonts w:hint="eastAsia"/>
          <w:b/>
          <w:bCs/>
          <w:sz w:val="24"/>
        </w:rPr>
        <w:t>致</w:t>
      </w:r>
      <w:r>
        <w:rPr>
          <w:rFonts w:hint="eastAsia"/>
          <w:b/>
          <w:bCs/>
          <w:sz w:val="24"/>
          <w:u w:val="single"/>
        </w:rPr>
        <w:t xml:space="preserve">   成都蓉志楚远供应链管理有限公司     </w:t>
      </w:r>
      <w:r>
        <w:rPr>
          <w:rFonts w:hint="eastAsia"/>
          <w:b/>
          <w:bCs/>
          <w:sz w:val="24"/>
        </w:rPr>
        <w:t>：</w:t>
      </w:r>
    </w:p>
    <w:p>
      <w:pPr>
        <w:numPr>
          <w:ilvl w:val="0"/>
          <w:numId w:val="27"/>
        </w:numPr>
        <w:tabs>
          <w:tab w:val="left" w:pos="2160"/>
        </w:tabs>
        <w:snapToGrid w:val="0"/>
        <w:spacing w:line="360" w:lineRule="auto"/>
        <w:rPr>
          <w:sz w:val="24"/>
        </w:rPr>
      </w:pPr>
      <w:r>
        <w:rPr>
          <w:rFonts w:hint="eastAsia"/>
          <w:w w:val="110"/>
          <w:sz w:val="24"/>
        </w:rPr>
        <w:t xml:space="preserve">在全面研究了贵司的招标文件和考察了工地现场后，我司愿意按暂定总价人民币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要求，已包含我司实施本工程及缺陷修复所发生的全部费用，遵照招标文件的要求，承担本工程的施工及缺陷修复。</w:t>
      </w:r>
    </w:p>
    <w:p>
      <w:pPr>
        <w:pStyle w:val="33"/>
        <w:widowControl/>
        <w:numPr>
          <w:ilvl w:val="0"/>
          <w:numId w:val="27"/>
        </w:numPr>
        <w:spacing w:line="360" w:lineRule="auto"/>
        <w:ind w:firstLineChars="0"/>
        <w:rPr>
          <w:sz w:val="24"/>
        </w:rPr>
      </w:pPr>
      <w:r>
        <w:rPr>
          <w:rFonts w:hint="eastAsia"/>
          <w:sz w:val="24"/>
        </w:rPr>
        <w:t>我方已详细阅读全部招标文件，包括澄清或者修改文件。</w:t>
      </w:r>
    </w:p>
    <w:p>
      <w:pPr>
        <w:pStyle w:val="33"/>
        <w:numPr>
          <w:ilvl w:val="0"/>
          <w:numId w:val="27"/>
        </w:numPr>
        <w:snapToGrid w:val="0"/>
        <w:spacing w:line="360" w:lineRule="auto"/>
        <w:ind w:firstLineChars="0"/>
        <w:rPr>
          <w:sz w:val="24"/>
        </w:rPr>
      </w:pPr>
      <w:r>
        <w:rPr>
          <w:rFonts w:hint="eastAsia"/>
          <w:sz w:val="24"/>
        </w:rPr>
        <w:t>一旦我方中标，我司将按合同要求的施工工期完成本工程。</w:t>
      </w:r>
    </w:p>
    <w:p>
      <w:pPr>
        <w:numPr>
          <w:ilvl w:val="0"/>
          <w:numId w:val="27"/>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pPr>
        <w:numPr>
          <w:ilvl w:val="0"/>
          <w:numId w:val="27"/>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pPr>
        <w:numPr>
          <w:ilvl w:val="0"/>
          <w:numId w:val="27"/>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pPr>
        <w:numPr>
          <w:ilvl w:val="0"/>
          <w:numId w:val="27"/>
        </w:numPr>
        <w:snapToGrid w:val="0"/>
        <w:spacing w:line="360" w:lineRule="auto"/>
        <w:rPr>
          <w:sz w:val="24"/>
        </w:rPr>
      </w:pPr>
      <w:r>
        <w:rPr>
          <w:rFonts w:hint="eastAsia"/>
          <w:sz w:val="24"/>
        </w:rPr>
        <w:t>我司同意履行投标保证的相关条件。</w:t>
      </w:r>
    </w:p>
    <w:p>
      <w:pPr>
        <w:numPr>
          <w:ilvl w:val="0"/>
          <w:numId w:val="27"/>
        </w:numPr>
        <w:snapToGrid w:val="0"/>
        <w:spacing w:line="360" w:lineRule="auto"/>
        <w:rPr>
          <w:spacing w:val="-4"/>
          <w:sz w:val="24"/>
        </w:rPr>
      </w:pPr>
      <w:r>
        <w:rPr>
          <w:rFonts w:hint="eastAsia"/>
          <w:spacing w:val="-4"/>
          <w:sz w:val="24"/>
        </w:rPr>
        <w:t>我司完全同意贵司选择中标方的办法，并同意自行承担投标所发生的一切费用。</w:t>
      </w:r>
    </w:p>
    <w:p>
      <w:pPr>
        <w:numPr>
          <w:ilvl w:val="0"/>
          <w:numId w:val="27"/>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pPr>
        <w:snapToGrid w:val="0"/>
        <w:spacing w:line="360" w:lineRule="auto"/>
        <w:ind w:firstLine="5160" w:firstLineChars="2150"/>
        <w:rPr>
          <w:sz w:val="24"/>
        </w:rPr>
      </w:pPr>
      <w:r>
        <w:rPr>
          <w:rFonts w:hint="eastAsia"/>
          <w:sz w:val="24"/>
        </w:rPr>
        <w:t xml:space="preserve">投标人：               </w:t>
      </w:r>
    </w:p>
    <w:p>
      <w:pPr>
        <w:snapToGrid w:val="0"/>
        <w:spacing w:line="360" w:lineRule="auto"/>
        <w:ind w:left="483" w:leftChars="230" w:firstLine="4680" w:firstLineChars="1950"/>
        <w:rPr>
          <w:sz w:val="24"/>
        </w:rPr>
      </w:pPr>
      <w:r>
        <w:rPr>
          <w:rFonts w:hint="eastAsia"/>
          <w:sz w:val="24"/>
        </w:rPr>
        <w:t>法定代表人：　　　　　（签字）</w:t>
      </w:r>
    </w:p>
    <w:p>
      <w:pPr>
        <w:snapToGrid w:val="0"/>
        <w:spacing w:line="360" w:lineRule="auto"/>
        <w:ind w:left="483" w:leftChars="230" w:firstLine="4680" w:firstLineChars="1950"/>
        <w:rPr>
          <w:sz w:val="24"/>
        </w:rPr>
      </w:pPr>
      <w:r>
        <w:rPr>
          <w:rFonts w:hint="eastAsia"/>
          <w:sz w:val="24"/>
        </w:rPr>
        <w:t>委托代理人：        　（签字）</w:t>
      </w:r>
    </w:p>
    <w:p>
      <w:pPr>
        <w:snapToGrid w:val="0"/>
        <w:spacing w:line="360" w:lineRule="auto"/>
        <w:ind w:left="483" w:leftChars="230" w:firstLine="4680" w:firstLineChars="1950"/>
        <w:jc w:val="left"/>
        <w:rPr>
          <w:sz w:val="24"/>
        </w:rPr>
      </w:pPr>
      <w:r>
        <w:rPr>
          <w:rFonts w:hint="eastAsia"/>
          <w:sz w:val="24"/>
        </w:rPr>
        <w:t>投标人地址：</w:t>
      </w:r>
    </w:p>
    <w:p>
      <w:pPr>
        <w:snapToGrid w:val="0"/>
        <w:spacing w:line="360" w:lineRule="auto"/>
        <w:ind w:left="483" w:leftChars="230" w:firstLine="4680" w:firstLineChars="1950"/>
        <w:rPr>
          <w:sz w:val="24"/>
        </w:rPr>
      </w:pPr>
      <w:r>
        <w:rPr>
          <w:rFonts w:hint="eastAsia"/>
          <w:sz w:val="24"/>
        </w:rPr>
        <w:t>联系电话：</w:t>
      </w:r>
    </w:p>
    <w:p>
      <w:pPr>
        <w:snapToGrid w:val="0"/>
        <w:spacing w:line="360" w:lineRule="auto"/>
        <w:ind w:left="483" w:leftChars="230" w:firstLine="4680" w:firstLineChars="1950"/>
        <w:rPr>
          <w:sz w:val="24"/>
          <w:u w:val="single"/>
        </w:rPr>
      </w:pPr>
      <w:r>
        <w:rPr>
          <w:rFonts w:hint="eastAsia"/>
          <w:sz w:val="24"/>
        </w:rPr>
        <w:t>传真电话：</w:t>
      </w:r>
    </w:p>
    <w:p>
      <w:pPr>
        <w:wordWrap w:val="0"/>
        <w:snapToGrid w:val="0"/>
        <w:spacing w:line="360" w:lineRule="auto"/>
        <w:ind w:left="482"/>
        <w:jc w:val="right"/>
        <w:rPr>
          <w:b/>
          <w:bCs/>
          <w:sz w:val="24"/>
        </w:rPr>
      </w:pPr>
      <w:r>
        <w:rPr>
          <w:rFonts w:hint="eastAsia"/>
          <w:b/>
          <w:bCs/>
          <w:sz w:val="24"/>
        </w:rPr>
        <w:t>投标人：         （盖章）</w:t>
      </w:r>
    </w:p>
    <w:p>
      <w:pPr>
        <w:adjustRightInd w:val="0"/>
        <w:snapToGrid w:val="0"/>
        <w:spacing w:line="360" w:lineRule="auto"/>
        <w:jc w:val="right"/>
        <w:rPr>
          <w:b/>
          <w:bCs/>
          <w:sz w:val="24"/>
        </w:rPr>
      </w:pPr>
      <w:r>
        <w:rPr>
          <w:rFonts w:hint="eastAsia"/>
          <w:b/>
          <w:bCs/>
          <w:sz w:val="24"/>
        </w:rPr>
        <w:t>年  月   日</w:t>
      </w:r>
    </w:p>
    <w:p>
      <w:pPr>
        <w:adjustRightInd w:val="0"/>
        <w:snapToGrid w:val="0"/>
        <w:spacing w:line="360" w:lineRule="auto"/>
        <w:jc w:val="left"/>
        <w:rPr>
          <w:sz w:val="24"/>
        </w:rPr>
      </w:pPr>
    </w:p>
    <w:p>
      <w:pPr>
        <w:adjustRightInd w:val="0"/>
        <w:snapToGrid w:val="0"/>
        <w:spacing w:line="360" w:lineRule="auto"/>
        <w:jc w:val="left"/>
        <w:rPr>
          <w:sz w:val="24"/>
        </w:rPr>
      </w:pPr>
      <w:r>
        <w:rPr>
          <w:rFonts w:hint="eastAsia"/>
          <w:sz w:val="24"/>
        </w:rPr>
        <w:t>附表二：</w:t>
      </w:r>
    </w:p>
    <w:tbl>
      <w:tblPr>
        <w:tblStyle w:val="23"/>
        <w:tblpPr w:leftFromText="180" w:rightFromText="180" w:vertAnchor="text" w:horzAnchor="margin" w:tblpXSpec="center" w:tblpY="70"/>
        <w:tblW w:w="10401" w:type="dxa"/>
        <w:tblInd w:w="0" w:type="dxa"/>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01"/>
      </w:tblGrid>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547" w:hRule="atLeast"/>
        </w:trPr>
        <w:tc>
          <w:tcPr>
            <w:tcW w:w="10401" w:type="dxa"/>
            <w:tcBorders>
              <w:bottom w:val="double" w:color="auto" w:sz="12" w:space="0"/>
            </w:tcBorders>
            <w:vAlign w:val="center"/>
          </w:tcPr>
          <w:p>
            <w:pPr>
              <w:spacing w:line="400" w:lineRule="exact"/>
              <w:jc w:val="center"/>
              <w:rPr>
                <w:rFonts w:ascii="幼圆" w:eastAsia="幼圆"/>
                <w:b/>
                <w:bCs/>
                <w:sz w:val="32"/>
              </w:rPr>
            </w:pPr>
            <w:r>
              <w:rPr>
                <w:rFonts w:hint="eastAsia" w:ascii="幼圆" w:eastAsia="幼圆"/>
                <w:b/>
                <w:bCs/>
                <w:sz w:val="32"/>
              </w:rPr>
              <w:t>投 标 人 声 明 书</w:t>
            </w:r>
          </w:p>
        </w:tc>
      </w:tr>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12501" w:hRule="atLeast"/>
        </w:trPr>
        <w:tc>
          <w:tcPr>
            <w:tcW w:w="10401" w:type="dxa"/>
            <w:tcBorders>
              <w:top w:val="nil"/>
            </w:tcBorders>
          </w:tcPr>
          <w:p>
            <w:pPr>
              <w:spacing w:line="400" w:lineRule="exact"/>
              <w:ind w:firstLine="480" w:firstLineChars="200"/>
              <w:rPr>
                <w:sz w:val="24"/>
                <w:u w:val="single"/>
              </w:rPr>
            </w:pPr>
            <w:r>
              <w:rPr>
                <w:rFonts w:hint="eastAsia"/>
                <w:sz w:val="24"/>
              </w:rPr>
              <w:t>本投标人参加</w:t>
            </w:r>
            <w:r>
              <w:rPr>
                <w:rFonts w:hint="eastAsia"/>
                <w:sz w:val="24"/>
                <w:u w:val="single"/>
              </w:rPr>
              <w:t xml:space="preserve">   </w:t>
            </w:r>
            <w:r>
              <w:rPr>
                <w:rFonts w:hint="eastAsia"/>
                <w:b/>
                <w:bCs/>
                <w:sz w:val="24"/>
                <w:u w:val="single"/>
              </w:rPr>
              <w:t>成都蓉志楚远供应链管理有限公司</w:t>
            </w:r>
            <w:r>
              <w:rPr>
                <w:rFonts w:hint="eastAsia"/>
                <w:sz w:val="24"/>
                <w:u w:val="single"/>
              </w:rPr>
              <w:t xml:space="preserve">   </w:t>
            </w:r>
            <w:r>
              <w:rPr>
                <w:rFonts w:hint="eastAsia"/>
                <w:sz w:val="24"/>
              </w:rPr>
              <w:t>的投标工作，特声明如下：</w:t>
            </w:r>
          </w:p>
          <w:tbl>
            <w:tblPr>
              <w:tblStyle w:val="23"/>
              <w:tblpPr w:leftFromText="180" w:rightFromText="180" w:vertAnchor="page" w:horzAnchor="margin" w:tblpXSpec="right" w:tblpY="119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916"/>
              <w:gridCol w:w="1381"/>
              <w:gridCol w:w="1379"/>
              <w:gridCol w:w="11"/>
              <w:gridCol w:w="1368"/>
              <w:gridCol w:w="977"/>
              <w:gridCol w:w="1260"/>
              <w:gridCol w:w="11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35" w:type="dxa"/>
                  <w:tcBorders>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序号</w:t>
                  </w:r>
                </w:p>
              </w:tc>
              <w:tc>
                <w:tcPr>
                  <w:tcW w:w="7032"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声明事项</w:t>
                  </w:r>
                </w:p>
              </w:tc>
              <w:tc>
                <w:tcPr>
                  <w:tcW w:w="12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是</w:t>
                  </w:r>
                </w:p>
                <w:p>
                  <w:pPr>
                    <w:adjustRightInd w:val="0"/>
                    <w:snapToGrid w:val="0"/>
                    <w:spacing w:line="0" w:lineRule="atLeast"/>
                    <w:jc w:val="center"/>
                    <w:rPr>
                      <w:sz w:val="24"/>
                    </w:rPr>
                  </w:pPr>
                  <w:r>
                    <w:rPr>
                      <w:rFonts w:hint="eastAsia"/>
                      <w:sz w:val="24"/>
                    </w:rPr>
                    <w:t>（打√）</w:t>
                  </w:r>
                </w:p>
              </w:tc>
              <w:tc>
                <w:tcPr>
                  <w:tcW w:w="1158" w:type="dxa"/>
                  <w:tcBorders>
                    <w:left w:val="single" w:color="auto" w:sz="4" w:space="0"/>
                    <w:bottom w:val="single" w:color="auto" w:sz="4" w:space="0"/>
                  </w:tcBorders>
                  <w:vAlign w:val="center"/>
                </w:tcPr>
                <w:p>
                  <w:pPr>
                    <w:adjustRightInd w:val="0"/>
                    <w:snapToGrid w:val="0"/>
                    <w:spacing w:line="0" w:lineRule="atLeast"/>
                    <w:jc w:val="center"/>
                    <w:rPr>
                      <w:sz w:val="24"/>
                    </w:rPr>
                  </w:pPr>
                  <w:r>
                    <w:rPr>
                      <w:rFonts w:hint="eastAsia"/>
                      <w:sz w:val="24"/>
                    </w:rPr>
                    <w:t>否</w:t>
                  </w:r>
                </w:p>
                <w:p>
                  <w:pPr>
                    <w:adjustRightInd w:val="0"/>
                    <w:snapToGrid w:val="0"/>
                    <w:spacing w:line="0" w:lineRule="atLeast"/>
                    <w:jc w:val="center"/>
                    <w:rPr>
                      <w:sz w:val="24"/>
                    </w:rPr>
                  </w:pPr>
                  <w:r>
                    <w:rPr>
                      <w:rFonts w:hint="eastAsia"/>
                      <w:sz w:val="24"/>
                    </w:rPr>
                    <w:t>（打√）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一</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二</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三</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u w:val="single"/>
                    </w:rPr>
                  </w:pPr>
                  <w:r>
                    <w:rPr>
                      <w:rFonts w:hint="eastAsia"/>
                      <w:sz w:val="24"/>
                    </w:rPr>
                    <w:t>本投标人对本项目所采用的材料、设备、半成品质量及本项目的质量承担全部的法律责任，如不能满足投标书中的承诺，本投标人愿意向招标人支付合同总价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四</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五</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本投标人在本项目的投标过程中，保证具有独立、诚信，公正的立场，绝无串标、抬标等现象发生。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六</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七</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八</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九</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7"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十</w:t>
                  </w:r>
                </w:p>
              </w:tc>
              <w:tc>
                <w:tcPr>
                  <w:tcW w:w="9450" w:type="dxa"/>
                  <w:gridSpan w:val="8"/>
                  <w:tcBorders>
                    <w:top w:val="single" w:color="auto" w:sz="4" w:space="0"/>
                    <w:left w:val="single" w:color="auto" w:sz="4" w:space="0"/>
                    <w:bottom w:val="single" w:color="auto" w:sz="4" w:space="0"/>
                  </w:tcBorders>
                  <w:vAlign w:val="center"/>
                </w:tcPr>
                <w:p>
                  <w:pPr>
                    <w:adjustRightInd w:val="0"/>
                    <w:snapToGrid w:val="0"/>
                    <w:spacing w:line="0" w:lineRule="atLeast"/>
                    <w:rPr>
                      <w:b/>
                      <w:bCs/>
                      <w:sz w:val="24"/>
                    </w:rPr>
                  </w:pPr>
                  <w:r>
                    <w:rPr>
                      <w:rFonts w:hint="eastAsia"/>
                      <w:b/>
                      <w:bCs/>
                      <w:sz w:val="24"/>
                    </w:rPr>
                    <w:t>本投标人声明：</w:t>
                  </w:r>
                </w:p>
                <w:p>
                  <w:pPr>
                    <w:adjustRightInd w:val="0"/>
                    <w:snapToGrid w:val="0"/>
                    <w:spacing w:line="0" w:lineRule="atLeast"/>
                    <w:ind w:firstLine="482" w:firstLineChars="200"/>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735" w:type="dxa"/>
                  <w:vMerge w:val="restart"/>
                  <w:tcBorders>
                    <w:top w:val="single" w:color="auto" w:sz="4" w:space="0"/>
                    <w:left w:val="nil"/>
                    <w:right w:val="single" w:color="auto" w:sz="4" w:space="0"/>
                  </w:tcBorders>
                  <w:vAlign w:val="center"/>
                </w:tcPr>
                <w:p>
                  <w:pPr>
                    <w:adjustRightInd w:val="0"/>
                    <w:snapToGrid w:val="0"/>
                    <w:spacing w:line="0" w:lineRule="atLeast"/>
                    <w:jc w:val="center"/>
                    <w:rPr>
                      <w:sz w:val="24"/>
                    </w:rPr>
                  </w:pPr>
                  <w:r>
                    <w:rPr>
                      <w:rFonts w:hint="eastAsia"/>
                      <w:sz w:val="24"/>
                    </w:rPr>
                    <w:t>十一</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投标人地址</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邮政编码</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restart"/>
                  <w:tcBorders>
                    <w:top w:val="single" w:color="auto" w:sz="4" w:space="0"/>
                    <w:left w:val="single" w:color="auto" w:sz="4" w:space="0"/>
                    <w:right w:val="single" w:color="auto" w:sz="4" w:space="0"/>
                  </w:tcBorders>
                  <w:vAlign w:val="center"/>
                </w:tcPr>
                <w:p>
                  <w:pPr>
                    <w:adjustRightInd w:val="0"/>
                    <w:snapToGrid w:val="0"/>
                    <w:spacing w:line="0" w:lineRule="atLeast"/>
                  </w:pPr>
                  <w:r>
                    <w:rPr>
                      <w:rFonts w:hint="eastAsia"/>
                    </w:rPr>
                    <w:t>投标人</w:t>
                  </w:r>
                  <w:r>
                    <w:rPr>
                      <w:rFonts w:hint="eastAsia"/>
                      <w:u w:val="single"/>
                    </w:rPr>
                    <w:t xml:space="preserve">：             </w:t>
                  </w:r>
                  <w:r>
                    <w:rPr>
                      <w:rFonts w:hint="eastAsia"/>
                    </w:rPr>
                    <w:t>（盖章）</w:t>
                  </w:r>
                </w:p>
                <w:p>
                  <w:pPr>
                    <w:adjustRightInd w:val="0"/>
                    <w:snapToGrid w:val="0"/>
                    <w:spacing w:line="0" w:lineRule="atLeast"/>
                  </w:pPr>
                  <w:r>
                    <w:rPr>
                      <w:rFonts w:hint="eastAsia"/>
                    </w:rPr>
                    <w:t>法定代表人或授权委托人</w:t>
                  </w:r>
                </w:p>
                <w:p>
                  <w:pPr>
                    <w:adjustRightInd w:val="0"/>
                    <w:snapToGrid w:val="0"/>
                    <w:spacing w:line="0" w:lineRule="atLeast"/>
                    <w:rPr>
                      <w:sz w:val="24"/>
                    </w:rPr>
                  </w:pPr>
                  <w:r>
                    <w:rPr>
                      <w:rFonts w:hint="eastAsia"/>
                    </w:rPr>
                    <w:t>签名：</w:t>
                  </w:r>
                </w:p>
                <w:p>
                  <w:pPr>
                    <w:adjustRightInd w:val="0"/>
                    <w:snapToGrid w:val="0"/>
                    <w:spacing w:line="0" w:lineRule="atLeast"/>
                    <w:jc w:val="center"/>
                    <w:rPr>
                      <w:sz w:val="24"/>
                    </w:rPr>
                  </w:pPr>
                  <w:r>
                    <w:rPr>
                      <w:rFonts w:hint="eastAsia"/>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735" w:type="dxa"/>
                  <w:vMerge w:val="continue"/>
                  <w:tcBorders>
                    <w:left w:val="nil"/>
                    <w:right w:val="single" w:color="auto" w:sz="4" w:space="0"/>
                  </w:tcBorders>
                  <w:vAlign w:val="center"/>
                </w:tcPr>
                <w:p>
                  <w:pPr>
                    <w:adjustRightInd w:val="0"/>
                    <w:snapToGrid w:val="0"/>
                    <w:spacing w:line="0" w:lineRule="atLeast"/>
                    <w:jc w:val="center"/>
                    <w:rPr>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联系电话</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传真电话</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735" w:type="dxa"/>
                  <w:vMerge w:val="continue"/>
                  <w:tcBorders>
                    <w:left w:val="nil"/>
                    <w:right w:val="single" w:color="auto" w:sz="4" w:space="0"/>
                  </w:tcBorders>
                  <w:vAlign w:val="center"/>
                </w:tcPr>
                <w:p>
                  <w:pPr>
                    <w:adjustRightInd w:val="0"/>
                    <w:snapToGrid w:val="0"/>
                    <w:spacing w:line="0" w:lineRule="atLeast"/>
                    <w:rPr>
                      <w:sz w:val="24"/>
                    </w:rPr>
                  </w:pPr>
                </w:p>
              </w:tc>
              <w:tc>
                <w:tcPr>
                  <w:tcW w:w="1916"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开户银行</w:t>
                  </w:r>
                </w:p>
              </w:tc>
              <w:tc>
                <w:tcPr>
                  <w:tcW w:w="1381"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1390"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银行帐号</w:t>
                  </w:r>
                </w:p>
              </w:tc>
              <w:tc>
                <w:tcPr>
                  <w:tcW w:w="1368"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735" w:type="dxa"/>
                  <w:vMerge w:val="continue"/>
                  <w:tcBorders>
                    <w:left w:val="nil"/>
                    <w:bottom w:val="single" w:color="auto" w:sz="4" w:space="0"/>
                    <w:right w:val="single" w:color="auto" w:sz="4" w:space="0"/>
                  </w:tcBorders>
                  <w:vAlign w:val="center"/>
                </w:tcPr>
                <w:p>
                  <w:pPr>
                    <w:adjustRightInd w:val="0"/>
                    <w:snapToGrid w:val="0"/>
                    <w:spacing w:line="0" w:lineRule="atLeast"/>
                    <w:rPr>
                      <w:sz w:val="24"/>
                    </w:rPr>
                  </w:pPr>
                </w:p>
              </w:tc>
              <w:tc>
                <w:tcPr>
                  <w:tcW w:w="605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投标人承诺上述联系地址及号码均为确定、有效的联系方式，招标人使用上述联系方式，投标人均表示认可。</w:t>
                  </w:r>
                </w:p>
              </w:tc>
              <w:tc>
                <w:tcPr>
                  <w:tcW w:w="3395" w:type="dxa"/>
                  <w:gridSpan w:val="3"/>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r>
          </w:tbl>
          <w:p>
            <w:pPr>
              <w:spacing w:line="400" w:lineRule="exact"/>
              <w:rPr>
                <w:rFonts w:ascii="幼圆" w:eastAsia="幼圆"/>
                <w:sz w:val="24"/>
              </w:rPr>
            </w:pPr>
          </w:p>
        </w:tc>
      </w:tr>
    </w:tbl>
    <w:p>
      <w:pPr>
        <w:tabs>
          <w:tab w:val="left" w:pos="360"/>
          <w:tab w:val="left" w:pos="540"/>
        </w:tabs>
        <w:spacing w:line="360" w:lineRule="auto"/>
        <w:rPr>
          <w:bCs/>
          <w:sz w:val="24"/>
        </w:rPr>
      </w:pPr>
    </w:p>
    <w:p>
      <w:pPr>
        <w:tabs>
          <w:tab w:val="left" w:pos="360"/>
          <w:tab w:val="left" w:pos="540"/>
        </w:tabs>
        <w:spacing w:line="360" w:lineRule="auto"/>
        <w:rPr>
          <w:bCs/>
          <w:sz w:val="24"/>
        </w:rPr>
      </w:pPr>
      <w:r>
        <w:rPr>
          <w:rFonts w:hint="eastAsia"/>
          <w:bCs/>
          <w:sz w:val="24"/>
        </w:rPr>
        <w:t>附表三</w:t>
      </w:r>
    </w:p>
    <w:p>
      <w:pPr>
        <w:pStyle w:val="10"/>
      </w:pPr>
    </w:p>
    <w:p>
      <w:pPr>
        <w:widowControl/>
        <w:jc w:val="center"/>
        <w:rPr>
          <w:b/>
          <w:bCs/>
          <w:sz w:val="40"/>
          <w:szCs w:val="40"/>
        </w:rPr>
      </w:pPr>
      <w:r>
        <w:rPr>
          <w:rFonts w:hint="eastAsia"/>
          <w:b/>
          <w:bCs/>
          <w:sz w:val="40"/>
          <w:szCs w:val="40"/>
        </w:rPr>
        <w:t>诚信承诺书</w:t>
      </w:r>
    </w:p>
    <w:p>
      <w:pPr>
        <w:pStyle w:val="10"/>
      </w:pPr>
    </w:p>
    <w:p>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成都蓉志楚远供应链管理有限公司</w:t>
      </w:r>
      <w:r>
        <w:rPr>
          <w:rFonts w:hint="eastAsia"/>
          <w:spacing w:val="-4"/>
          <w:sz w:val="24"/>
          <w:u w:val="single"/>
        </w:rPr>
        <w:t xml:space="preserve">  </w:t>
      </w:r>
    </w:p>
    <w:p>
      <w:pPr>
        <w:spacing w:line="360" w:lineRule="auto"/>
        <w:ind w:firstLine="596" w:firstLineChars="257"/>
        <w:rPr>
          <w:spacing w:val="-4"/>
          <w:sz w:val="24"/>
        </w:rPr>
      </w:pPr>
      <w:r>
        <w:rPr>
          <w:rFonts w:hint="eastAsia"/>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pPr>
        <w:numPr>
          <w:ilvl w:val="0"/>
          <w:numId w:val="28"/>
        </w:numPr>
        <w:tabs>
          <w:tab w:val="left" w:pos="1260"/>
          <w:tab w:val="left" w:pos="1440"/>
        </w:tabs>
        <w:spacing w:line="360" w:lineRule="auto"/>
        <w:ind w:left="596" w:hanging="596" w:hangingChars="257"/>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pPr>
        <w:numPr>
          <w:ilvl w:val="0"/>
          <w:numId w:val="28"/>
        </w:numPr>
        <w:tabs>
          <w:tab w:val="left" w:pos="1260"/>
          <w:tab w:val="left" w:pos="1440"/>
        </w:tabs>
        <w:spacing w:line="360" w:lineRule="auto"/>
        <w:ind w:left="596" w:hanging="596" w:hangingChars="257"/>
        <w:rPr>
          <w:spacing w:val="-4"/>
          <w:sz w:val="24"/>
        </w:rPr>
      </w:pPr>
      <w:r>
        <w:rPr>
          <w:rFonts w:hint="eastAsia"/>
          <w:spacing w:val="-4"/>
          <w:sz w:val="24"/>
        </w:rPr>
        <w:t>保证投标商务信息的准确无误，且未向任何第三方泄露，无与其他投标单位串标、围标等违规行为；</w:t>
      </w:r>
    </w:p>
    <w:p>
      <w:pPr>
        <w:numPr>
          <w:ilvl w:val="0"/>
          <w:numId w:val="28"/>
        </w:numPr>
        <w:tabs>
          <w:tab w:val="left" w:pos="1260"/>
          <w:tab w:val="left" w:pos="1440"/>
        </w:tabs>
        <w:spacing w:line="360" w:lineRule="auto"/>
        <w:ind w:left="596" w:hanging="596" w:hangingChars="257"/>
        <w:rPr>
          <w:spacing w:val="-4"/>
          <w:sz w:val="24"/>
        </w:rPr>
      </w:pPr>
      <w:r>
        <w:rPr>
          <w:rFonts w:hint="eastAsia"/>
          <w:spacing w:val="-4"/>
          <w:sz w:val="24"/>
        </w:rPr>
        <w:t>保证中标后按贵司要求及时签订合同，同时按招标文件要求按时足额缴纳履约质保金；</w:t>
      </w:r>
    </w:p>
    <w:p>
      <w:pPr>
        <w:numPr>
          <w:ilvl w:val="0"/>
          <w:numId w:val="28"/>
        </w:numPr>
        <w:tabs>
          <w:tab w:val="left" w:pos="1260"/>
          <w:tab w:val="left" w:pos="1440"/>
        </w:tabs>
        <w:spacing w:line="360" w:lineRule="auto"/>
        <w:ind w:left="596" w:hanging="596" w:hangingChars="257"/>
        <w:rPr>
          <w:spacing w:val="-4"/>
          <w:sz w:val="24"/>
        </w:rPr>
      </w:pPr>
      <w:r>
        <w:rPr>
          <w:rFonts w:hint="eastAsia"/>
          <w:spacing w:val="-4"/>
          <w:sz w:val="24"/>
        </w:rPr>
        <w:t>中标后按双方最终确定的价格签订合同，不故意抬高价格；</w:t>
      </w:r>
    </w:p>
    <w:p>
      <w:pPr>
        <w:numPr>
          <w:ilvl w:val="0"/>
          <w:numId w:val="28"/>
        </w:numPr>
        <w:tabs>
          <w:tab w:val="left" w:pos="1260"/>
          <w:tab w:val="left" w:pos="1440"/>
        </w:tabs>
        <w:spacing w:line="360" w:lineRule="auto"/>
        <w:ind w:left="596" w:hanging="596" w:hangingChars="257"/>
        <w:rPr>
          <w:spacing w:val="-4"/>
          <w:sz w:val="24"/>
        </w:rPr>
      </w:pPr>
      <w:r>
        <w:rPr>
          <w:rFonts w:hint="eastAsia"/>
          <w:spacing w:val="-4"/>
          <w:sz w:val="24"/>
        </w:rPr>
        <w:t>保证在中标后认真履约，不将合同范围内的工作内容私自转包、分包；</w:t>
      </w:r>
    </w:p>
    <w:p>
      <w:pPr>
        <w:spacing w:line="360" w:lineRule="auto"/>
        <w:ind w:firstLine="445" w:firstLineChars="192"/>
        <w:rPr>
          <w:rFonts w:ascii="幼圆" w:eastAsia="幼圆"/>
          <w:spacing w:val="-4"/>
          <w:sz w:val="24"/>
        </w:rPr>
      </w:pPr>
      <w:r>
        <w:rPr>
          <w:rFonts w:hint="eastAsia"/>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pPr>
        <w:spacing w:line="360" w:lineRule="auto"/>
        <w:ind w:left="3419" w:leftChars="1628" w:firstLine="1703" w:firstLineChars="731"/>
        <w:jc w:val="left"/>
        <w:rPr>
          <w:rFonts w:ascii="幼圆" w:eastAsia="幼圆"/>
          <w:b/>
          <w:spacing w:val="-4"/>
          <w:sz w:val="24"/>
        </w:rPr>
      </w:pP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承诺人：（盖章）</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代表：</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9"/>
        <w:rPr>
          <w:rFonts w:ascii="宋体" w:hAnsi="宋体"/>
          <w:sz w:val="24"/>
        </w:rPr>
      </w:pPr>
      <w:r>
        <w:rPr>
          <w:rFonts w:hint="eastAsia" w:ascii="宋体" w:hAnsi="宋体"/>
          <w:sz w:val="24"/>
        </w:rPr>
        <w:t>附表四：</w:t>
      </w:r>
      <w:bookmarkStart w:id="146" w:name="_Toc101904133"/>
      <w:bookmarkStart w:id="147" w:name="_Toc26845"/>
      <w:bookmarkStart w:id="148" w:name="_Toc331697163"/>
      <w:bookmarkStart w:id="149" w:name="_Toc214694663"/>
      <w:bookmarkStart w:id="150" w:name="_Toc13358"/>
      <w:bookmarkStart w:id="151" w:name="_Toc14326"/>
      <w:bookmarkStart w:id="152" w:name="_Toc21892"/>
      <w:bookmarkStart w:id="153" w:name="_Toc221679650"/>
      <w:bookmarkStart w:id="154" w:name="_Toc2270"/>
    </w:p>
    <w:p>
      <w:pPr>
        <w:jc w:val="center"/>
        <w:rPr>
          <w:b/>
          <w:bCs/>
          <w:sz w:val="36"/>
          <w:szCs w:val="36"/>
        </w:rPr>
      </w:pPr>
      <w:r>
        <w:rPr>
          <w:rFonts w:hint="eastAsia"/>
          <w:b/>
          <w:bCs/>
          <w:sz w:val="36"/>
          <w:szCs w:val="36"/>
        </w:rPr>
        <w:t>【零食有鸣】关于反商业贿赂行为的声明</w:t>
      </w:r>
    </w:p>
    <w:p>
      <w:pPr>
        <w:pStyle w:val="10"/>
      </w:pPr>
    </w:p>
    <w:p>
      <w:pPr>
        <w:jc w:val="left"/>
        <w:rPr>
          <w:sz w:val="24"/>
          <w:szCs w:val="24"/>
        </w:rPr>
      </w:pPr>
      <w:r>
        <w:rPr>
          <w:rFonts w:hint="eastAsia"/>
          <w:sz w:val="24"/>
          <w:szCs w:val="24"/>
        </w:rPr>
        <w:t>致“零食有鸣”：</w:t>
      </w:r>
    </w:p>
    <w:p>
      <w:pPr>
        <w:spacing w:line="500" w:lineRule="exact"/>
        <w:ind w:firstLine="480" w:firstLineChars="20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pPr>
        <w:spacing w:line="500" w:lineRule="exact"/>
        <w:ind w:firstLine="480" w:firstLineChars="20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环行业的良性循环，滋生腐败和犯罪。</w:t>
      </w:r>
    </w:p>
    <w:p>
      <w:pPr>
        <w:spacing w:line="500" w:lineRule="exact"/>
        <w:ind w:firstLine="480" w:firstLineChars="20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pPr>
        <w:numPr>
          <w:ilvl w:val="0"/>
          <w:numId w:val="29"/>
        </w:numPr>
        <w:spacing w:line="500" w:lineRule="exact"/>
        <w:ind w:firstLine="480" w:firstLineChars="200"/>
        <w:rPr>
          <w:sz w:val="24"/>
          <w:szCs w:val="24"/>
        </w:rPr>
      </w:pPr>
      <w:r>
        <w:rPr>
          <w:rFonts w:hint="eastAsia"/>
          <w:sz w:val="24"/>
          <w:szCs w:val="24"/>
        </w:rPr>
        <w:t>我们支持商业交往中的正常礼仪行为，但坚决反对企图通过任何方式对零食有鸣员工及其亲属提供不正当利益、施加不当影响的商业贿赂行为，并企图通过贿赂行为在交易中获得特殊待遇。不正当利益包括但不限于以现金、有价证券、礼品、娱乐票券、会员卡、无息贷款、股权等向零食有鸣员工提供回扣、回佣、就业或置业、合作伙伴付款的旅游、宴请及个人服务、其他形式的私人好处等。</w:t>
      </w:r>
    </w:p>
    <w:p>
      <w:pPr>
        <w:numPr>
          <w:ilvl w:val="0"/>
          <w:numId w:val="29"/>
        </w:numPr>
        <w:spacing w:line="500" w:lineRule="exact"/>
        <w:ind w:firstLine="480" w:firstLineChars="20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pPr>
        <w:numPr>
          <w:ilvl w:val="0"/>
          <w:numId w:val="29"/>
        </w:numPr>
        <w:spacing w:line="500" w:lineRule="exact"/>
        <w:ind w:firstLine="480" w:firstLineChars="200"/>
        <w:rPr>
          <w:sz w:val="24"/>
          <w:szCs w:val="24"/>
        </w:rPr>
      </w:pPr>
      <w:r>
        <w:rPr>
          <w:rFonts w:hint="eastAsia"/>
          <w:sz w:val="24"/>
          <w:szCs w:val="24"/>
        </w:rPr>
        <w:t>零食有鸣员工在与合作伙伴的交往过程中，应遵守法律法规及零食有鸣发布的关于反商业贿赂相关的规定；不得对任何合作伙伴有歧视或欺骗，确保双方合作过程的公正、公平、透明；不得从合作伙伴处接受或索取不正当利益，或利用职位影响合作伙伴的选择与评估，使特定合作方得到“特殊待遇”。</w:t>
      </w:r>
    </w:p>
    <w:p>
      <w:pPr>
        <w:numPr>
          <w:ilvl w:val="0"/>
          <w:numId w:val="29"/>
        </w:numPr>
        <w:spacing w:line="500" w:lineRule="exact"/>
        <w:ind w:firstLine="480" w:firstLineChars="20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鸣发布的最新的版本为准。</w:t>
      </w:r>
    </w:p>
    <w:p>
      <w:pPr>
        <w:numPr>
          <w:ilvl w:val="0"/>
          <w:numId w:val="29"/>
        </w:numPr>
        <w:spacing w:line="500" w:lineRule="exact"/>
        <w:ind w:firstLine="480" w:firstLineChars="200"/>
        <w:rPr>
          <w:sz w:val="24"/>
          <w:szCs w:val="24"/>
        </w:rPr>
      </w:pPr>
      <w:r>
        <w:rPr>
          <w:rFonts w:hint="eastAsia"/>
          <w:sz w:val="24"/>
          <w:szCs w:val="24"/>
        </w:rPr>
        <w:t>作为合作伙伴，有责任抵制、反对并举报零食有鸣员工不符合本声明规定的违法行为；有责任积极配合零食有鸣的相关调查活动。</w:t>
      </w:r>
    </w:p>
    <w:p>
      <w:pPr>
        <w:numPr>
          <w:ilvl w:val="0"/>
          <w:numId w:val="29"/>
        </w:numPr>
        <w:spacing w:line="500" w:lineRule="exact"/>
        <w:ind w:firstLine="480" w:firstLineChars="20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鸣支付【20】万元的违约金，接受零食有鸣将违反的合作伙伴及其法定代表人、高级管理层及相关业务负责人所持股或参与经营管理的任何公司列入零食黑名单，永不合作，并将按有关反商业贿赂法律法规追究相关责任。</w:t>
      </w:r>
    </w:p>
    <w:p>
      <w:pPr>
        <w:spacing w:line="500" w:lineRule="exact"/>
        <w:ind w:firstLine="480" w:firstLineChars="200"/>
        <w:rPr>
          <w:sz w:val="24"/>
          <w:szCs w:val="24"/>
        </w:rPr>
      </w:pPr>
      <w:r>
        <w:rPr>
          <w:rFonts w:hint="eastAsia"/>
          <w:sz w:val="24"/>
          <w:szCs w:val="24"/>
        </w:rPr>
        <w:t>六、以上承诺自承诺做出之日起，请零食有鸣及社会各界人士监督。</w:t>
      </w:r>
    </w:p>
    <w:p>
      <w:pPr>
        <w:spacing w:line="500" w:lineRule="exact"/>
        <w:rPr>
          <w:sz w:val="24"/>
          <w:szCs w:val="24"/>
          <w:u w:val="single"/>
        </w:rPr>
      </w:pPr>
    </w:p>
    <w:p>
      <w:pPr>
        <w:spacing w:line="500" w:lineRule="exact"/>
        <w:rPr>
          <w:sz w:val="24"/>
          <w:szCs w:val="24"/>
        </w:rPr>
      </w:pPr>
      <w:r>
        <w:rPr>
          <w:rFonts w:hint="eastAsia"/>
          <w:sz w:val="24"/>
          <w:szCs w:val="24"/>
        </w:rPr>
        <w:t xml:space="preserve">                                  </w:t>
      </w:r>
    </w:p>
    <w:p>
      <w:pPr>
        <w:spacing w:line="500" w:lineRule="exact"/>
        <w:jc w:val="left"/>
        <w:rPr>
          <w:sz w:val="24"/>
          <w:szCs w:val="24"/>
        </w:rPr>
      </w:pPr>
      <w:r>
        <w:rPr>
          <w:rFonts w:hint="eastAsia"/>
          <w:sz w:val="24"/>
          <w:szCs w:val="24"/>
        </w:rPr>
        <w:t xml:space="preserve">                                  声明人（签章）：      </w:t>
      </w:r>
    </w:p>
    <w:p>
      <w:pPr>
        <w:spacing w:line="500" w:lineRule="exact"/>
        <w:jc w:val="left"/>
        <w:rPr>
          <w:sz w:val="24"/>
          <w:szCs w:val="24"/>
        </w:rPr>
      </w:pPr>
      <w:r>
        <w:rPr>
          <w:rFonts w:hint="eastAsia"/>
          <w:sz w:val="24"/>
          <w:szCs w:val="24"/>
        </w:rPr>
        <w:t xml:space="preserve">                                  日期：  </w:t>
      </w:r>
    </w:p>
    <w:p>
      <w:pPr>
        <w:pStyle w:val="29"/>
        <w:rPr>
          <w:rFonts w:ascii="宋体" w:hAnsi="宋体"/>
          <w:sz w:val="24"/>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29"/>
        <w:rPr>
          <w:rFonts w:ascii="幼圆" w:hAnsi="宋体" w:eastAsia="幼圆"/>
          <w:szCs w:val="28"/>
        </w:rPr>
      </w:pPr>
      <w:r>
        <w:rPr>
          <w:rFonts w:hint="eastAsia" w:ascii="宋体" w:hAnsi="宋体"/>
          <w:sz w:val="24"/>
        </w:rPr>
        <w:t>附表五：</w:t>
      </w: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法定代表人身份证明</w:t>
      </w:r>
      <w:bookmarkEnd w:id="146"/>
      <w:bookmarkEnd w:id="147"/>
      <w:bookmarkEnd w:id="148"/>
      <w:bookmarkEnd w:id="149"/>
      <w:bookmarkEnd w:id="150"/>
      <w:bookmarkEnd w:id="151"/>
      <w:bookmarkEnd w:id="152"/>
      <w:bookmarkEnd w:id="153"/>
      <w:bookmarkEnd w:id="154"/>
    </w:p>
    <w:p>
      <w:pPr>
        <w:pStyle w:val="29"/>
        <w:outlineLvl w:val="9"/>
        <w:rPr>
          <w:rFonts w:ascii="宋体" w:hAnsi="宋体"/>
          <w:bCs/>
          <w:color w:val="000000"/>
          <w:szCs w:val="28"/>
        </w:rPr>
      </w:pP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单位性质：</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pPr>
        <w:tabs>
          <w:tab w:val="left" w:pos="8049"/>
        </w:tabs>
        <w:autoSpaceDE w:val="0"/>
        <w:autoSpaceDN w:val="0"/>
        <w:adjustRightInd w:val="0"/>
        <w:spacing w:line="500" w:lineRule="exact"/>
        <w:rPr>
          <w:bCs/>
          <w:color w:val="000000"/>
          <w:sz w:val="28"/>
          <w:szCs w:val="28"/>
        </w:rPr>
      </w:pP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附：法定代表人身份证复印件、在本公司缴纳社保证明文件</w:t>
      </w: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720" w:lineRule="auto"/>
        <w:ind w:firstLine="4760" w:firstLineChars="1700"/>
        <w:jc w:val="right"/>
        <w:rPr>
          <w:bCs/>
          <w:color w:val="000000"/>
          <w:sz w:val="28"/>
          <w:szCs w:val="28"/>
        </w:rPr>
      </w:pPr>
      <w:r>
        <w:rPr>
          <w:rFonts w:hint="eastAsia"/>
          <w:bCs/>
          <w:color w:val="000000"/>
          <w:sz w:val="28"/>
          <w:szCs w:val="28"/>
        </w:rPr>
        <w:t>投标单位：</w:t>
      </w:r>
      <w:r>
        <w:rPr>
          <w:rFonts w:hint="eastAsia"/>
          <w:bCs/>
          <w:color w:val="000000"/>
          <w:sz w:val="28"/>
          <w:szCs w:val="28"/>
          <w:u w:val="single"/>
        </w:rPr>
        <w:t>　　　　　　　　　　　</w:t>
      </w:r>
      <w:r>
        <w:rPr>
          <w:rFonts w:hint="eastAsia"/>
          <w:bCs/>
          <w:color w:val="000000"/>
          <w:sz w:val="28"/>
          <w:szCs w:val="28"/>
        </w:rPr>
        <w:t>（盖单位章）</w:t>
      </w:r>
    </w:p>
    <w:p>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w:t>
      </w:r>
      <w:r>
        <w:rPr>
          <w:rFonts w:hint="eastAsia"/>
          <w:bCs/>
          <w:color w:val="000000"/>
          <w:sz w:val="28"/>
          <w:szCs w:val="28"/>
        </w:rPr>
        <w:t>年</w:t>
      </w:r>
      <w:r>
        <w:rPr>
          <w:rFonts w:hint="eastAsia"/>
          <w:bCs/>
          <w:color w:val="000000"/>
          <w:sz w:val="28"/>
          <w:szCs w:val="28"/>
          <w:u w:val="single"/>
        </w:rPr>
        <w:t>　 　</w:t>
      </w:r>
      <w:r>
        <w:rPr>
          <w:rFonts w:hint="eastAsia"/>
          <w:bCs/>
          <w:color w:val="000000"/>
          <w:sz w:val="28"/>
          <w:szCs w:val="28"/>
        </w:rPr>
        <w:t>月</w:t>
      </w:r>
      <w:r>
        <w:rPr>
          <w:rFonts w:hint="eastAsia"/>
          <w:bCs/>
          <w:color w:val="000000"/>
          <w:sz w:val="28"/>
          <w:szCs w:val="28"/>
          <w:u w:val="single"/>
        </w:rPr>
        <w:t>　 　</w:t>
      </w:r>
      <w:r>
        <w:rPr>
          <w:rFonts w:hint="eastAsia"/>
          <w:bCs/>
          <w:color w:val="000000"/>
          <w:sz w:val="28"/>
          <w:szCs w:val="28"/>
        </w:rPr>
        <w:t>日</w:t>
      </w: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pStyle w:val="29"/>
        <w:rPr>
          <w:rFonts w:ascii="宋体" w:hAnsi="宋体"/>
          <w:sz w:val="24"/>
        </w:rPr>
      </w:pPr>
      <w:r>
        <w:rPr>
          <w:rFonts w:hint="eastAsia" w:ascii="宋体" w:hAnsi="宋体"/>
          <w:sz w:val="24"/>
        </w:rPr>
        <w:t>附表六：</w:t>
      </w:r>
    </w:p>
    <w:p>
      <w:pPr>
        <w:spacing w:line="360" w:lineRule="auto"/>
        <w:rPr>
          <w:sz w:val="24"/>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法定代表人授权委托书</w:t>
      </w:r>
    </w:p>
    <w:p>
      <w:pPr>
        <w:spacing w:line="580" w:lineRule="exact"/>
        <w:rPr>
          <w:sz w:val="24"/>
        </w:rPr>
      </w:pPr>
      <w:r>
        <w:rPr>
          <w:rFonts w:hint="eastAsia"/>
          <w:sz w:val="24"/>
        </w:rPr>
        <w:t>委托人：</w:t>
      </w:r>
      <w:r>
        <w:rPr>
          <w:rFonts w:hint="eastAsia"/>
          <w:sz w:val="24"/>
          <w:u w:val="single"/>
        </w:rPr>
        <w:t xml:space="preserve">                    （公司全称）</w:t>
      </w:r>
    </w:p>
    <w:p>
      <w:pPr>
        <w:spacing w:line="580" w:lineRule="exact"/>
        <w:rPr>
          <w:sz w:val="24"/>
        </w:rPr>
      </w:pPr>
      <w:r>
        <w:rPr>
          <w:rFonts w:hint="eastAsia"/>
          <w:sz w:val="24"/>
        </w:rPr>
        <w:t>地址：</w:t>
      </w:r>
    </w:p>
    <w:p>
      <w:pPr>
        <w:spacing w:line="580" w:lineRule="exact"/>
        <w:rPr>
          <w:sz w:val="24"/>
        </w:rPr>
      </w:pPr>
      <w:r>
        <w:rPr>
          <w:rFonts w:hint="eastAsia"/>
          <w:sz w:val="24"/>
        </w:rPr>
        <w:t>法定代表人：</w:t>
      </w:r>
    </w:p>
    <w:p>
      <w:pPr>
        <w:spacing w:line="580" w:lineRule="exact"/>
        <w:rPr>
          <w:sz w:val="24"/>
        </w:rPr>
      </w:pPr>
      <w:r>
        <w:rPr>
          <w:rFonts w:hint="eastAsia"/>
          <w:sz w:val="24"/>
        </w:rPr>
        <w:t>委托代理人姓名：</w:t>
      </w:r>
    </w:p>
    <w:p>
      <w:pPr>
        <w:spacing w:line="580" w:lineRule="exact"/>
        <w:rPr>
          <w:sz w:val="24"/>
        </w:rPr>
      </w:pPr>
      <w:r>
        <w:rPr>
          <w:rFonts w:hint="eastAsia"/>
          <w:sz w:val="24"/>
        </w:rPr>
        <w:t>委托代理人职务：</w:t>
      </w:r>
    </w:p>
    <w:p>
      <w:pPr>
        <w:spacing w:line="580" w:lineRule="exact"/>
        <w:rPr>
          <w:sz w:val="24"/>
        </w:rPr>
      </w:pPr>
      <w:r>
        <w:rPr>
          <w:rFonts w:hint="eastAsia"/>
          <w:sz w:val="24"/>
        </w:rPr>
        <w:t>委托代理人身份证号：</w:t>
      </w:r>
    </w:p>
    <w:p>
      <w:pPr>
        <w:spacing w:line="580" w:lineRule="exact"/>
        <w:ind w:firstLine="480" w:firstLineChars="20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pPr>
        <w:spacing w:line="580" w:lineRule="exact"/>
        <w:ind w:firstLine="480" w:firstLineChars="200"/>
        <w:jc w:val="left"/>
        <w:rPr>
          <w:sz w:val="24"/>
        </w:rPr>
      </w:pPr>
      <w:r>
        <w:rPr>
          <w:rFonts w:hint="eastAsia"/>
          <w:sz w:val="24"/>
        </w:rPr>
        <w:t>委托代理人无转委托权。</w:t>
      </w:r>
    </w:p>
    <w:p>
      <w:pPr>
        <w:spacing w:line="580" w:lineRule="exact"/>
        <w:ind w:firstLine="480" w:firstLineChars="200"/>
        <w:rPr>
          <w:sz w:val="24"/>
          <w:u w:val="single"/>
        </w:rPr>
      </w:pPr>
    </w:p>
    <w:p>
      <w:pPr>
        <w:spacing w:line="580" w:lineRule="exact"/>
        <w:ind w:firstLine="480" w:firstLineChars="200"/>
        <w:rPr>
          <w:sz w:val="24"/>
        </w:rPr>
      </w:pPr>
      <w:r>
        <w:rPr>
          <w:rFonts w:hint="eastAsia"/>
          <w:sz w:val="24"/>
        </w:rPr>
        <w:t>特此委托</w:t>
      </w:r>
    </w:p>
    <w:p>
      <w:pPr>
        <w:spacing w:line="580" w:lineRule="exact"/>
        <w:ind w:firstLine="960" w:firstLineChars="400"/>
        <w:rPr>
          <w:sz w:val="24"/>
        </w:rPr>
      </w:pPr>
      <w:r>
        <w:rPr>
          <w:rFonts w:hint="eastAsia"/>
          <w:sz w:val="24"/>
        </w:rPr>
        <w:t>委托人：         （盖章）       委托代理人：     （签名）</w:t>
      </w:r>
    </w:p>
    <w:p>
      <w:pPr>
        <w:spacing w:line="580" w:lineRule="exact"/>
        <w:rPr>
          <w:sz w:val="24"/>
        </w:rPr>
      </w:pPr>
    </w:p>
    <w:p>
      <w:pPr>
        <w:spacing w:line="580" w:lineRule="exact"/>
        <w:ind w:firstLine="960" w:firstLineChars="400"/>
        <w:rPr>
          <w:sz w:val="24"/>
        </w:rPr>
      </w:pPr>
      <w:r>
        <w:rPr>
          <w:rFonts w:hint="eastAsia"/>
          <w:sz w:val="24"/>
        </w:rPr>
        <w:t xml:space="preserve">法定代表人：       （签名）      </w:t>
      </w:r>
    </w:p>
    <w:p>
      <w:pPr>
        <w:spacing w:line="580" w:lineRule="exact"/>
        <w:jc w:val="center"/>
        <w:rPr>
          <w:sz w:val="24"/>
        </w:rPr>
      </w:pPr>
    </w:p>
    <w:p>
      <w:pPr>
        <w:ind w:firstLine="1200" w:firstLineChars="500"/>
        <w:rPr>
          <w:sz w:val="24"/>
        </w:rPr>
      </w:pPr>
      <w:r>
        <w:rPr>
          <w:rFonts w:hint="eastAsia"/>
          <w:sz w:val="24"/>
        </w:rPr>
        <w:t xml:space="preserve">  年  月  日</w:t>
      </w:r>
    </w:p>
    <w:p>
      <w:pPr>
        <w:spacing w:line="360" w:lineRule="auto"/>
        <w:rPr>
          <w:sz w:val="24"/>
        </w:rPr>
      </w:pPr>
    </w:p>
    <w:p>
      <w:pPr>
        <w:spacing w:line="360" w:lineRule="auto"/>
        <w:rPr>
          <w:sz w:val="24"/>
        </w:rPr>
      </w:pPr>
      <w:r>
        <w:rPr>
          <w:rFonts w:hint="eastAsia"/>
          <w:sz w:val="24"/>
        </w:rPr>
        <w:t>注：后附委托代理人身份复印件、在本公司缴纳社保证明文件</w:t>
      </w:r>
    </w:p>
    <w:p>
      <w:pPr>
        <w:adjustRightInd w:val="0"/>
        <w:snapToGrid w:val="0"/>
        <w:spacing w:line="360" w:lineRule="auto"/>
        <w:rPr>
          <w:b/>
          <w:sz w:val="24"/>
        </w:rPr>
      </w:pPr>
    </w:p>
    <w:p>
      <w:pPr>
        <w:pStyle w:val="10"/>
        <w:rPr>
          <w:b/>
          <w:sz w:val="24"/>
        </w:rPr>
      </w:pPr>
    </w:p>
    <w:p>
      <w:pPr>
        <w:pStyle w:val="11"/>
        <w:rPr>
          <w:rFonts w:ascii="宋体"/>
          <w:b/>
          <w:sz w:val="24"/>
        </w:rPr>
      </w:pPr>
    </w:p>
    <w:p>
      <w:pPr>
        <w:rPr>
          <w:b/>
          <w:sz w:val="24"/>
        </w:rPr>
      </w:pPr>
    </w:p>
    <w:p>
      <w:pPr>
        <w:pStyle w:val="10"/>
        <w:rPr>
          <w:b/>
          <w:sz w:val="24"/>
        </w:rPr>
      </w:pPr>
    </w:p>
    <w:p>
      <w:pPr>
        <w:pStyle w:val="11"/>
        <w:rPr>
          <w:rFonts w:ascii="宋体"/>
          <w:b/>
          <w:sz w:val="24"/>
        </w:rPr>
      </w:pPr>
    </w:p>
    <w:p>
      <w:pPr>
        <w:spacing w:line="360" w:lineRule="auto"/>
        <w:rPr>
          <w:sz w:val="24"/>
        </w:rPr>
      </w:pPr>
      <w:r>
        <w:rPr>
          <w:rFonts w:hint="eastAsia"/>
          <w:sz w:val="24"/>
        </w:rPr>
        <w:t>附件七：</w:t>
      </w:r>
    </w:p>
    <w:p>
      <w:pPr>
        <w:pStyle w:val="34"/>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项目经理任命书</w:t>
      </w:r>
    </w:p>
    <w:p>
      <w:pPr>
        <w:spacing w:line="480" w:lineRule="auto"/>
        <w:rPr>
          <w:rFonts w:ascii="幼圆" w:eastAsia="幼圆"/>
          <w:sz w:val="24"/>
          <w:u w:val="single"/>
        </w:rPr>
      </w:pPr>
    </w:p>
    <w:p>
      <w:pPr>
        <w:spacing w:line="480" w:lineRule="auto"/>
        <w:rPr>
          <w:rFonts w:ascii="幼圆" w:eastAsia="幼圆"/>
          <w:b/>
          <w:bCs/>
          <w:sz w:val="24"/>
        </w:rPr>
      </w:pPr>
      <w:r>
        <w:rPr>
          <w:rFonts w:hint="eastAsia" w:ascii="幼圆" w:eastAsia="幼圆"/>
          <w:b/>
          <w:bCs/>
          <w:sz w:val="24"/>
        </w:rPr>
        <w:t>（投标人）</w:t>
      </w:r>
    </w:p>
    <w:p>
      <w:pPr>
        <w:spacing w:line="480" w:lineRule="auto"/>
        <w:ind w:firstLine="720" w:firstLineChars="300"/>
        <w:rPr>
          <w:sz w:val="24"/>
        </w:rPr>
      </w:pPr>
      <w:r>
        <w:rPr>
          <w:rFonts w:hint="eastAsia"/>
          <w:sz w:val="24"/>
        </w:rPr>
        <w:t>经公司私有云会议研究决定，任命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pPr>
        <w:spacing w:line="480" w:lineRule="auto"/>
        <w:rPr>
          <w:sz w:val="24"/>
        </w:rPr>
      </w:pPr>
    </w:p>
    <w:p>
      <w:pPr>
        <w:spacing w:line="480" w:lineRule="auto"/>
        <w:ind w:firstLine="855"/>
        <w:rPr>
          <w:sz w:val="24"/>
        </w:rPr>
      </w:pPr>
      <w:r>
        <w:rPr>
          <w:rFonts w:hint="eastAsia"/>
          <w:sz w:val="24"/>
        </w:rPr>
        <w:t>特此任命</w:t>
      </w:r>
    </w:p>
    <w:p>
      <w:pPr>
        <w:spacing w:line="480" w:lineRule="auto"/>
        <w:ind w:firstLine="4800" w:firstLineChars="2000"/>
        <w:rPr>
          <w:sz w:val="24"/>
        </w:rPr>
      </w:pPr>
      <w:r>
        <w:rPr>
          <w:rFonts w:hint="eastAsia"/>
          <w:sz w:val="24"/>
        </w:rPr>
        <w:t>（投标人）</w:t>
      </w:r>
    </w:p>
    <w:p>
      <w:pPr>
        <w:spacing w:line="480" w:lineRule="auto"/>
        <w:ind w:firstLine="5040" w:firstLineChars="2100"/>
        <w:rPr>
          <w:sz w:val="24"/>
          <w:u w:val="single"/>
        </w:rPr>
      </w:pPr>
      <w:r>
        <w:rPr>
          <w:rFonts w:hint="eastAsia"/>
          <w:sz w:val="24"/>
        </w:rPr>
        <w:t>法定代表人：</w:t>
      </w:r>
    </w:p>
    <w:p>
      <w:pPr>
        <w:spacing w:line="480" w:lineRule="auto"/>
        <w:ind w:firstLine="5040" w:firstLineChars="2100"/>
        <w:jc w:val="right"/>
        <w:rPr>
          <w:sz w:val="24"/>
          <w:u w:val="single"/>
        </w:rPr>
      </w:pPr>
      <w:r>
        <w:rPr>
          <w:rFonts w:hint="eastAsia"/>
          <w:sz w:val="24"/>
          <w:u w:val="single"/>
        </w:rPr>
        <w:t xml:space="preserve">    年 月   日</w:t>
      </w:r>
    </w:p>
    <w:p>
      <w:pPr>
        <w:spacing w:line="600" w:lineRule="exact"/>
        <w:jc w:val="left"/>
        <w:rPr>
          <w:b/>
          <w:bCs/>
          <w:sz w:val="24"/>
        </w:rPr>
      </w:pPr>
    </w:p>
    <w:p>
      <w:pPr>
        <w:spacing w:line="600" w:lineRule="exact"/>
        <w:jc w:val="left"/>
        <w:rPr>
          <w:b/>
          <w:bCs/>
          <w:sz w:val="24"/>
        </w:rPr>
      </w:pPr>
    </w:p>
    <w:p>
      <w:pPr>
        <w:spacing w:line="600" w:lineRule="exact"/>
        <w:jc w:val="left"/>
        <w:rPr>
          <w:b/>
          <w:bCs/>
          <w:sz w:val="24"/>
        </w:rPr>
      </w:pPr>
    </w:p>
    <w:p>
      <w:pPr>
        <w:spacing w:line="360" w:lineRule="auto"/>
        <w:rPr>
          <w:sz w:val="24"/>
        </w:rPr>
      </w:pPr>
      <w:r>
        <w:rPr>
          <w:rFonts w:hint="eastAsia"/>
          <w:sz w:val="24"/>
        </w:rPr>
        <w:t>注：后附项目经理身份复印件、在本公司缴纳社保证明文件</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pStyle w:val="10"/>
        <w:rPr>
          <w:b/>
          <w:sz w:val="24"/>
        </w:rPr>
      </w:pPr>
    </w:p>
    <w:p>
      <w:pPr>
        <w:pStyle w:val="11"/>
      </w:pPr>
    </w:p>
    <w:p>
      <w:pPr>
        <w:adjustRightInd w:val="0"/>
        <w:snapToGrid w:val="0"/>
        <w:spacing w:line="360" w:lineRule="auto"/>
        <w:rPr>
          <w:b/>
          <w:sz w:val="24"/>
        </w:rPr>
      </w:pPr>
    </w:p>
    <w:p>
      <w:pPr>
        <w:spacing w:line="360" w:lineRule="auto"/>
        <w:rPr>
          <w:sz w:val="24"/>
        </w:rPr>
      </w:pPr>
      <w:r>
        <w:rPr>
          <w:rFonts w:hint="eastAsia"/>
          <w:sz w:val="24"/>
        </w:rPr>
        <w:t>附件八：</w:t>
      </w:r>
    </w:p>
    <w:p>
      <w:pPr>
        <w:pStyle w:val="34"/>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拟在本项目任职主要人员简历表</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0"/>
        <w:gridCol w:w="1092"/>
        <w:gridCol w:w="348"/>
        <w:gridCol w:w="1260"/>
        <w:gridCol w:w="900"/>
        <w:gridCol w:w="54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3" w:type="dxa"/>
            <w:vAlign w:val="center"/>
          </w:tcPr>
          <w:p>
            <w:pPr>
              <w:spacing w:line="600" w:lineRule="exact"/>
              <w:jc w:val="center"/>
              <w:rPr>
                <w:rFonts w:ascii="幼圆" w:eastAsia="幼圆"/>
                <w:sz w:val="24"/>
              </w:rPr>
            </w:pPr>
            <w:r>
              <w:rPr>
                <w:rFonts w:hint="eastAsia" w:ascii="幼圆" w:eastAsia="幼圆"/>
                <w:sz w:val="24"/>
              </w:rPr>
              <w:t>姓  名</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年  龄</w:t>
            </w:r>
          </w:p>
        </w:tc>
        <w:tc>
          <w:tcPr>
            <w:tcW w:w="1608" w:type="dxa"/>
            <w:gridSpan w:val="2"/>
            <w:vAlign w:val="center"/>
          </w:tcPr>
          <w:p>
            <w:pPr>
              <w:spacing w:line="600" w:lineRule="exact"/>
              <w:rPr>
                <w:rFonts w:ascii="幼圆" w:eastAsia="幼圆"/>
                <w:sz w:val="24"/>
              </w:rPr>
            </w:pPr>
          </w:p>
        </w:tc>
        <w:tc>
          <w:tcPr>
            <w:tcW w:w="1440" w:type="dxa"/>
            <w:gridSpan w:val="2"/>
            <w:vAlign w:val="center"/>
          </w:tcPr>
          <w:p>
            <w:pPr>
              <w:spacing w:line="600" w:lineRule="exact"/>
              <w:jc w:val="center"/>
              <w:rPr>
                <w:rFonts w:ascii="幼圆" w:eastAsia="幼圆"/>
                <w:sz w:val="24"/>
              </w:rPr>
            </w:pPr>
            <w:r>
              <w:rPr>
                <w:rFonts w:hint="eastAsia" w:ascii="幼圆" w:eastAsia="幼圆"/>
                <w:sz w:val="24"/>
              </w:rPr>
              <w:t>专  业</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3" w:type="dxa"/>
            <w:vAlign w:val="center"/>
          </w:tcPr>
          <w:p>
            <w:pPr>
              <w:spacing w:line="600" w:lineRule="exact"/>
              <w:jc w:val="center"/>
              <w:rPr>
                <w:rFonts w:ascii="幼圆" w:eastAsia="幼圆"/>
                <w:sz w:val="24"/>
              </w:rPr>
            </w:pPr>
            <w:r>
              <w:rPr>
                <w:rFonts w:hint="eastAsia" w:ascii="幼圆" w:eastAsia="幼圆"/>
                <w:sz w:val="24"/>
              </w:rPr>
              <w:t>职  称</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职  务</w:t>
            </w:r>
          </w:p>
        </w:tc>
        <w:tc>
          <w:tcPr>
            <w:tcW w:w="1608" w:type="dxa"/>
            <w:gridSpan w:val="2"/>
            <w:vAlign w:val="center"/>
          </w:tcPr>
          <w:p>
            <w:pPr>
              <w:spacing w:line="600" w:lineRule="exact"/>
              <w:jc w:val="center"/>
              <w:rPr>
                <w:rFonts w:ascii="幼圆" w:eastAsia="幼圆"/>
                <w:sz w:val="24"/>
              </w:rPr>
            </w:pPr>
          </w:p>
        </w:tc>
        <w:tc>
          <w:tcPr>
            <w:tcW w:w="1440" w:type="dxa"/>
            <w:gridSpan w:val="2"/>
          </w:tcPr>
          <w:p>
            <w:pPr>
              <w:spacing w:line="600" w:lineRule="exact"/>
              <w:rPr>
                <w:rFonts w:ascii="幼圆" w:eastAsia="幼圆"/>
                <w:sz w:val="24"/>
              </w:rPr>
            </w:pPr>
            <w:r>
              <w:rPr>
                <w:rFonts w:hint="eastAsia" w:ascii="幼圆" w:eastAsia="幼圆"/>
                <w:sz w:val="24"/>
              </w:rPr>
              <w:t>拟在本工程担任职务</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rPr>
                <w:rFonts w:ascii="幼圆" w:eastAsia="幼圆"/>
                <w:sz w:val="24"/>
              </w:rPr>
            </w:pPr>
            <w:r>
              <w:rPr>
                <w:rFonts w:hint="eastAsia" w:ascii="幼圆" w:eastAsia="幼圆"/>
                <w:sz w:val="24"/>
              </w:rPr>
              <w:t>毕业学校</w:t>
            </w:r>
          </w:p>
        </w:tc>
        <w:tc>
          <w:tcPr>
            <w:tcW w:w="7770" w:type="dxa"/>
            <w:gridSpan w:val="7"/>
          </w:tcPr>
          <w:p>
            <w:pPr>
              <w:spacing w:line="600" w:lineRule="exact"/>
              <w:rPr>
                <w:rFonts w:ascii="幼圆" w:eastAsia="幼圆"/>
                <w:sz w:val="24"/>
              </w:rPr>
            </w:pPr>
            <w:r>
              <w:rPr>
                <w:rFonts w:hint="eastAsia" w:ascii="幼圆" w:eastAsia="幼圆"/>
                <w:sz w:val="24"/>
              </w:rPr>
              <w:t>年月毕业于专业学制年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43" w:type="dxa"/>
            <w:gridSpan w:val="8"/>
          </w:tcPr>
          <w:p>
            <w:pPr>
              <w:spacing w:line="600" w:lineRule="exact"/>
              <w:jc w:val="center"/>
              <w:rPr>
                <w:rFonts w:ascii="幼圆" w:eastAsia="幼圆"/>
                <w:sz w:val="24"/>
              </w:rPr>
            </w:pPr>
            <w:r>
              <w:rPr>
                <w:rFonts w:hint="eastAsia" w:ascii="幼圆" w:eastAsia="幼圆"/>
                <w:sz w:val="24"/>
              </w:rPr>
              <w:t>经      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jc w:val="center"/>
              <w:rPr>
                <w:rFonts w:ascii="幼圆" w:eastAsia="幼圆"/>
                <w:sz w:val="24"/>
              </w:rPr>
            </w:pPr>
            <w:r>
              <w:rPr>
                <w:rFonts w:hint="eastAsia" w:ascii="幼圆" w:eastAsia="幼圆"/>
                <w:sz w:val="24"/>
              </w:rPr>
              <w:t>年 月  日</w:t>
            </w:r>
          </w:p>
        </w:tc>
        <w:tc>
          <w:tcPr>
            <w:tcW w:w="3240" w:type="dxa"/>
            <w:gridSpan w:val="3"/>
          </w:tcPr>
          <w:p>
            <w:pPr>
              <w:spacing w:line="600" w:lineRule="exact"/>
              <w:jc w:val="center"/>
              <w:rPr>
                <w:rFonts w:ascii="幼圆" w:eastAsia="幼圆"/>
                <w:sz w:val="24"/>
              </w:rPr>
            </w:pPr>
            <w:r>
              <w:rPr>
                <w:rFonts w:hint="eastAsia" w:ascii="幼圆" w:eastAsia="幼圆"/>
                <w:sz w:val="24"/>
              </w:rPr>
              <w:t>参加过类似工程项目名称</w:t>
            </w:r>
          </w:p>
        </w:tc>
        <w:tc>
          <w:tcPr>
            <w:tcW w:w="2160" w:type="dxa"/>
            <w:gridSpan w:val="2"/>
          </w:tcPr>
          <w:p>
            <w:pPr>
              <w:spacing w:line="600" w:lineRule="exact"/>
              <w:jc w:val="center"/>
              <w:rPr>
                <w:rFonts w:ascii="幼圆" w:eastAsia="幼圆"/>
                <w:sz w:val="24"/>
              </w:rPr>
            </w:pPr>
            <w:r>
              <w:rPr>
                <w:rFonts w:hint="eastAsia" w:ascii="幼圆" w:eastAsia="幼圆"/>
                <w:sz w:val="24"/>
              </w:rPr>
              <w:t>担任任职</w:t>
            </w:r>
          </w:p>
        </w:tc>
        <w:tc>
          <w:tcPr>
            <w:tcW w:w="2370" w:type="dxa"/>
            <w:gridSpan w:val="2"/>
          </w:tcPr>
          <w:p>
            <w:pPr>
              <w:spacing w:line="600" w:lineRule="exact"/>
              <w:jc w:val="center"/>
              <w:rPr>
                <w:rFonts w:ascii="幼圆" w:eastAsia="幼圆"/>
                <w:sz w:val="24"/>
              </w:rPr>
            </w:pPr>
            <w:r>
              <w:rPr>
                <w:rFonts w:hint="eastAsia" w:ascii="幼圆" w:eastAsia="幼圆"/>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bl>
    <w:p>
      <w:pPr>
        <w:spacing w:line="600" w:lineRule="exact"/>
        <w:rPr>
          <w:rFonts w:ascii="幼圆" w:eastAsia="幼圆"/>
          <w:b/>
          <w:bCs/>
          <w:sz w:val="24"/>
        </w:rPr>
      </w:pPr>
      <w:r>
        <w:rPr>
          <w:rFonts w:hint="eastAsia" w:ascii="幼圆" w:eastAsia="幼圆"/>
          <w:b/>
          <w:sz w:val="24"/>
        </w:rPr>
        <w:t>说明：</w:t>
      </w:r>
      <w:r>
        <w:rPr>
          <w:rFonts w:hint="eastAsia"/>
          <w:sz w:val="24"/>
        </w:rPr>
        <w:t>1、</w:t>
      </w:r>
      <w:r>
        <w:rPr>
          <w:rFonts w:hint="eastAsia"/>
          <w:color w:val="FF0000"/>
          <w:sz w:val="24"/>
        </w:rPr>
        <w:t>主要人员指实际参加本工程实施项目管理、设计人员、技术方面等专业人员、财务对账人员、订单接收人员、生产排产人员、物流人员等，如有其他相关人员，自行补充。2、按要求的人员进行填写，每人一张。并附上其身份证正反面复印件，以上所有人员，提供其在本公司缴纳社保证明文件。</w:t>
      </w:r>
    </w:p>
    <w:p>
      <w:pPr>
        <w:pStyle w:val="11"/>
        <w:rPr>
          <w:rFonts w:ascii="幼圆" w:eastAsia="幼圆"/>
          <w:b/>
          <w:bCs/>
          <w:sz w:val="24"/>
        </w:rPr>
      </w:pPr>
    </w:p>
    <w:p/>
    <w:p>
      <w:pPr>
        <w:rPr>
          <w:rFonts w:ascii="幼圆" w:eastAsia="幼圆"/>
          <w:b/>
          <w:bCs/>
          <w:sz w:val="24"/>
        </w:rPr>
      </w:pPr>
    </w:p>
    <w:p>
      <w:pPr>
        <w:tabs>
          <w:tab w:val="left" w:pos="540"/>
        </w:tabs>
        <w:spacing w:before="156" w:beforeLines="50" w:after="156" w:afterLines="50" w:line="360" w:lineRule="auto"/>
        <w:rPr>
          <w:sz w:val="24"/>
        </w:rPr>
      </w:pPr>
      <w:r>
        <w:rPr>
          <w:rFonts w:hint="eastAsia"/>
          <w:sz w:val="24"/>
        </w:rPr>
        <w:t>附件九：</w:t>
      </w:r>
    </w:p>
    <w:p>
      <w:pPr>
        <w:spacing w:line="500" w:lineRule="exact"/>
        <w:jc w:val="center"/>
        <w:rPr>
          <w:rFonts w:ascii="幼圆" w:eastAsia="幼圆"/>
          <w:b/>
          <w:bCs/>
          <w:sz w:val="32"/>
          <w:szCs w:val="32"/>
        </w:rPr>
      </w:pPr>
      <w:r>
        <w:rPr>
          <w:rFonts w:hint="eastAsia" w:ascii="幼圆" w:eastAsia="幼圆"/>
          <w:b/>
          <w:bCs/>
          <w:sz w:val="32"/>
          <w:szCs w:val="32"/>
        </w:rPr>
        <w:t>投标人近两年类似工程项目</w:t>
      </w:r>
    </w:p>
    <w:p>
      <w:pPr>
        <w:autoSpaceDE w:val="0"/>
        <w:autoSpaceDN w:val="0"/>
        <w:jc w:val="center"/>
        <w:rPr>
          <w:rFonts w:ascii="幼圆" w:eastAsia="幼圆"/>
          <w:b/>
          <w:bCs/>
          <w:sz w:val="28"/>
          <w:szCs w:val="28"/>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440"/>
        <w:gridCol w:w="1440"/>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68" w:type="dxa"/>
            <w:vAlign w:val="center"/>
          </w:tcPr>
          <w:p>
            <w:pPr>
              <w:autoSpaceDE w:val="0"/>
              <w:autoSpaceDN w:val="0"/>
              <w:jc w:val="center"/>
              <w:rPr>
                <w:bCs/>
                <w:sz w:val="24"/>
              </w:rPr>
            </w:pPr>
            <w:r>
              <w:rPr>
                <w:rFonts w:hint="eastAsia"/>
                <w:bCs/>
                <w:sz w:val="24"/>
              </w:rPr>
              <w:t>项目名称</w:t>
            </w:r>
          </w:p>
        </w:tc>
        <w:tc>
          <w:tcPr>
            <w:tcW w:w="1440" w:type="dxa"/>
            <w:vAlign w:val="center"/>
          </w:tcPr>
          <w:p>
            <w:pPr>
              <w:autoSpaceDE w:val="0"/>
              <w:autoSpaceDN w:val="0"/>
              <w:jc w:val="center"/>
              <w:rPr>
                <w:bCs/>
                <w:sz w:val="24"/>
              </w:rPr>
            </w:pPr>
            <w:r>
              <w:rPr>
                <w:rFonts w:hint="eastAsia"/>
                <w:bCs/>
                <w:sz w:val="24"/>
              </w:rPr>
              <w:t>项目地址</w:t>
            </w:r>
          </w:p>
        </w:tc>
        <w:tc>
          <w:tcPr>
            <w:tcW w:w="1440" w:type="dxa"/>
            <w:vAlign w:val="center"/>
          </w:tcPr>
          <w:p>
            <w:pPr>
              <w:autoSpaceDE w:val="0"/>
              <w:autoSpaceDN w:val="0"/>
              <w:jc w:val="center"/>
              <w:rPr>
                <w:bCs/>
                <w:sz w:val="24"/>
              </w:rPr>
            </w:pPr>
            <w:r>
              <w:rPr>
                <w:rFonts w:hint="eastAsia"/>
                <w:bCs/>
                <w:sz w:val="24"/>
              </w:rPr>
              <w:t>项目规模</w:t>
            </w:r>
          </w:p>
        </w:tc>
        <w:tc>
          <w:tcPr>
            <w:tcW w:w="1440" w:type="dxa"/>
            <w:vAlign w:val="center"/>
          </w:tcPr>
          <w:p>
            <w:pPr>
              <w:autoSpaceDE w:val="0"/>
              <w:autoSpaceDN w:val="0"/>
              <w:jc w:val="center"/>
              <w:rPr>
                <w:bCs/>
                <w:sz w:val="24"/>
              </w:rPr>
            </w:pPr>
            <w:r>
              <w:rPr>
                <w:rFonts w:hint="eastAsia"/>
                <w:bCs/>
                <w:sz w:val="24"/>
              </w:rPr>
              <w:t>项目经理</w:t>
            </w:r>
          </w:p>
        </w:tc>
        <w:tc>
          <w:tcPr>
            <w:tcW w:w="1901" w:type="dxa"/>
            <w:vAlign w:val="center"/>
          </w:tcPr>
          <w:p>
            <w:pPr>
              <w:autoSpaceDE w:val="0"/>
              <w:autoSpaceDN w:val="0"/>
              <w:jc w:val="center"/>
              <w:rPr>
                <w:bCs/>
                <w:sz w:val="24"/>
              </w:rPr>
            </w:pPr>
            <w:r>
              <w:rPr>
                <w:rFonts w:hint="eastAsia"/>
                <w:bCs/>
                <w:sz w:val="24"/>
              </w:rPr>
              <w:t>招标单位单位</w:t>
            </w:r>
          </w:p>
        </w:tc>
        <w:tc>
          <w:tcPr>
            <w:tcW w:w="2063" w:type="dxa"/>
            <w:vAlign w:val="center"/>
          </w:tcPr>
          <w:p>
            <w:pPr>
              <w:autoSpaceDE w:val="0"/>
              <w:autoSpaceDN w:val="0"/>
              <w:jc w:val="center"/>
              <w:rPr>
                <w:bCs/>
                <w:sz w:val="24"/>
              </w:rPr>
            </w:pPr>
            <w:r>
              <w:rPr>
                <w:rFonts w:hint="eastAsia"/>
                <w:bCs/>
                <w:sz w:val="24"/>
              </w:rPr>
              <w:t>招标单位单位联系人、联系方式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bl>
    <w:p>
      <w:pPr>
        <w:spacing w:line="400" w:lineRule="exact"/>
        <w:ind w:left="48" w:firstLine="241" w:firstLineChars="100"/>
        <w:jc w:val="right"/>
        <w:rPr>
          <w:rFonts w:ascii="幼圆" w:eastAsia="幼圆"/>
          <w:b/>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投标人：（盖章）</w:t>
      </w:r>
    </w:p>
    <w:p>
      <w:pPr>
        <w:spacing w:line="400" w:lineRule="exact"/>
        <w:ind w:left="48" w:firstLine="240" w:firstLineChars="100"/>
        <w:jc w:val="left"/>
        <w:rPr>
          <w:rFonts w:ascii="幼圆" w:eastAsia="幼圆"/>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年    月    日</w:t>
      </w:r>
    </w:p>
    <w:p>
      <w:pPr>
        <w:pStyle w:val="34"/>
        <w:widowControl w:val="0"/>
        <w:pBdr>
          <w:bottom w:val="none" w:color="auto" w:sz="0" w:space="0"/>
        </w:pBdr>
        <w:spacing w:before="0" w:beforeAutospacing="0" w:after="0" w:afterAutospacing="0" w:line="480" w:lineRule="auto"/>
        <w:jc w:val="both"/>
        <w:textAlignment w:val="auto"/>
        <w:rPr>
          <w:rFonts w:ascii="幼圆" w:eastAsia="幼圆"/>
          <w:bCs w:val="0"/>
          <w:kern w:val="2"/>
          <w:sz w:val="24"/>
        </w:rPr>
      </w:pPr>
    </w:p>
    <w:p>
      <w:pPr>
        <w:adjustRightInd w:val="0"/>
        <w:snapToGrid w:val="0"/>
        <w:spacing w:line="360" w:lineRule="auto"/>
        <w:rPr>
          <w:b/>
          <w:sz w:val="24"/>
        </w:rPr>
      </w:pPr>
      <w:r>
        <w:rPr>
          <w:rFonts w:hint="eastAsia"/>
          <w:b/>
          <w:sz w:val="24"/>
        </w:rPr>
        <w:t>注：附相关合同证明文件主要页（特别盖章页，清单页可以覆盖价格）。</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tabs>
          <w:tab w:val="left" w:pos="540"/>
        </w:tabs>
        <w:spacing w:before="156" w:beforeLines="50" w:after="156" w:afterLines="50" w:line="360" w:lineRule="auto"/>
        <w:rPr>
          <w:sz w:val="24"/>
        </w:rPr>
      </w:pPr>
      <w:r>
        <w:rPr>
          <w:rFonts w:hint="eastAsia"/>
          <w:sz w:val="24"/>
        </w:rPr>
        <w:t>附表十：</w:t>
      </w:r>
    </w:p>
    <w:p>
      <w:pPr>
        <w:tabs>
          <w:tab w:val="left" w:pos="2700"/>
        </w:tabs>
        <w:spacing w:before="187" w:beforeLines="60"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pPr>
        <w:spacing w:line="360" w:lineRule="auto"/>
        <w:rPr>
          <w:sz w:val="24"/>
        </w:rPr>
      </w:pPr>
    </w:p>
    <w:p>
      <w:pPr>
        <w:spacing w:line="360" w:lineRule="auto"/>
        <w:rPr>
          <w:sz w:val="24"/>
        </w:rPr>
      </w:pPr>
      <w:r>
        <w:rPr>
          <w:rFonts w:hint="eastAsia"/>
          <w:sz w:val="24"/>
        </w:rPr>
        <w:t xml:space="preserve">项目名称：   </w:t>
      </w:r>
    </w:p>
    <w:tbl>
      <w:tblPr>
        <w:tblStyle w:val="23"/>
        <w:tblW w:w="100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57"/>
        <w:gridCol w:w="1080"/>
        <w:gridCol w:w="720"/>
        <w:gridCol w:w="777"/>
        <w:gridCol w:w="993"/>
        <w:gridCol w:w="945"/>
        <w:gridCol w:w="980"/>
        <w:gridCol w:w="12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24" w:type="dxa"/>
            <w:vAlign w:val="center"/>
          </w:tcPr>
          <w:p>
            <w:pPr>
              <w:spacing w:line="360" w:lineRule="auto"/>
              <w:jc w:val="center"/>
              <w:rPr>
                <w:b/>
                <w:sz w:val="24"/>
              </w:rPr>
            </w:pPr>
            <w:r>
              <w:rPr>
                <w:rFonts w:hint="eastAsia"/>
                <w:b/>
                <w:sz w:val="24"/>
              </w:rPr>
              <w:t>序号</w:t>
            </w:r>
          </w:p>
        </w:tc>
        <w:tc>
          <w:tcPr>
            <w:tcW w:w="1157" w:type="dxa"/>
            <w:vAlign w:val="center"/>
          </w:tcPr>
          <w:p>
            <w:pPr>
              <w:spacing w:line="360" w:lineRule="auto"/>
              <w:jc w:val="center"/>
              <w:rPr>
                <w:b/>
                <w:sz w:val="24"/>
              </w:rPr>
            </w:pPr>
            <w:r>
              <w:rPr>
                <w:rFonts w:hint="eastAsia"/>
                <w:b/>
                <w:sz w:val="24"/>
              </w:rPr>
              <w:t>项目</w:t>
            </w:r>
          </w:p>
          <w:p>
            <w:pPr>
              <w:spacing w:line="360" w:lineRule="auto"/>
              <w:jc w:val="center"/>
              <w:rPr>
                <w:b/>
                <w:sz w:val="24"/>
              </w:rPr>
            </w:pPr>
            <w:r>
              <w:rPr>
                <w:rFonts w:hint="eastAsia"/>
                <w:b/>
                <w:sz w:val="24"/>
              </w:rPr>
              <w:t>名称</w:t>
            </w:r>
          </w:p>
        </w:tc>
        <w:tc>
          <w:tcPr>
            <w:tcW w:w="1080" w:type="dxa"/>
            <w:vAlign w:val="center"/>
          </w:tcPr>
          <w:p>
            <w:pPr>
              <w:spacing w:line="360" w:lineRule="auto"/>
              <w:jc w:val="center"/>
              <w:rPr>
                <w:b/>
                <w:sz w:val="24"/>
              </w:rPr>
            </w:pPr>
            <w:r>
              <w:rPr>
                <w:rFonts w:hint="eastAsia"/>
                <w:b/>
                <w:sz w:val="24"/>
              </w:rPr>
              <w:t>品牌</w:t>
            </w:r>
          </w:p>
          <w:p>
            <w:pPr>
              <w:spacing w:line="360" w:lineRule="auto"/>
              <w:jc w:val="center"/>
              <w:rPr>
                <w:b/>
                <w:sz w:val="24"/>
              </w:rPr>
            </w:pPr>
            <w:r>
              <w:rPr>
                <w:rFonts w:hint="eastAsia"/>
                <w:b/>
                <w:sz w:val="24"/>
              </w:rPr>
              <w:t>及产地</w:t>
            </w:r>
          </w:p>
        </w:tc>
        <w:tc>
          <w:tcPr>
            <w:tcW w:w="720" w:type="dxa"/>
            <w:vAlign w:val="center"/>
          </w:tcPr>
          <w:p>
            <w:pPr>
              <w:spacing w:line="360" w:lineRule="auto"/>
              <w:jc w:val="center"/>
              <w:rPr>
                <w:b/>
                <w:sz w:val="24"/>
              </w:rPr>
            </w:pPr>
            <w:r>
              <w:rPr>
                <w:rFonts w:hint="eastAsia"/>
                <w:b/>
                <w:sz w:val="24"/>
              </w:rPr>
              <w:t>规格型号</w:t>
            </w:r>
          </w:p>
        </w:tc>
        <w:tc>
          <w:tcPr>
            <w:tcW w:w="777" w:type="dxa"/>
            <w:vAlign w:val="center"/>
          </w:tcPr>
          <w:p>
            <w:pPr>
              <w:spacing w:line="360" w:lineRule="auto"/>
              <w:jc w:val="center"/>
              <w:rPr>
                <w:b/>
                <w:sz w:val="24"/>
              </w:rPr>
            </w:pPr>
            <w:r>
              <w:rPr>
                <w:rFonts w:hint="eastAsia"/>
                <w:b/>
                <w:sz w:val="24"/>
              </w:rPr>
              <w:t>单位</w:t>
            </w:r>
          </w:p>
        </w:tc>
        <w:tc>
          <w:tcPr>
            <w:tcW w:w="993" w:type="dxa"/>
            <w:vAlign w:val="center"/>
          </w:tcPr>
          <w:p>
            <w:pPr>
              <w:spacing w:line="360" w:lineRule="auto"/>
              <w:jc w:val="center"/>
              <w:rPr>
                <w:b/>
                <w:sz w:val="24"/>
              </w:rPr>
            </w:pPr>
            <w:r>
              <w:rPr>
                <w:rFonts w:hint="eastAsia"/>
                <w:b/>
                <w:sz w:val="24"/>
              </w:rPr>
              <w:t>工程量</w:t>
            </w:r>
          </w:p>
        </w:tc>
        <w:tc>
          <w:tcPr>
            <w:tcW w:w="945" w:type="dxa"/>
            <w:vAlign w:val="center"/>
          </w:tcPr>
          <w:p>
            <w:pPr>
              <w:spacing w:line="360" w:lineRule="auto"/>
              <w:jc w:val="center"/>
              <w:rPr>
                <w:b/>
                <w:sz w:val="24"/>
              </w:rPr>
            </w:pPr>
            <w:r>
              <w:rPr>
                <w:rFonts w:hint="eastAsia"/>
                <w:b/>
                <w:sz w:val="24"/>
              </w:rPr>
              <w:t>计算</w:t>
            </w:r>
          </w:p>
          <w:p>
            <w:pPr>
              <w:spacing w:line="360" w:lineRule="auto"/>
              <w:jc w:val="center"/>
              <w:rPr>
                <w:b/>
                <w:sz w:val="24"/>
              </w:rPr>
            </w:pPr>
            <w:r>
              <w:rPr>
                <w:rFonts w:hint="eastAsia"/>
                <w:b/>
                <w:sz w:val="24"/>
              </w:rPr>
              <w:t>规则</w:t>
            </w:r>
          </w:p>
        </w:tc>
        <w:tc>
          <w:tcPr>
            <w:tcW w:w="980" w:type="dxa"/>
            <w:vAlign w:val="center"/>
          </w:tcPr>
          <w:p>
            <w:pPr>
              <w:spacing w:line="360" w:lineRule="auto"/>
              <w:jc w:val="center"/>
              <w:rPr>
                <w:b/>
                <w:sz w:val="24"/>
              </w:rPr>
            </w:pPr>
            <w:r>
              <w:rPr>
                <w:rFonts w:hint="eastAsia"/>
                <w:b/>
                <w:sz w:val="24"/>
              </w:rPr>
              <w:t>单价</w:t>
            </w:r>
          </w:p>
        </w:tc>
        <w:tc>
          <w:tcPr>
            <w:tcW w:w="1298" w:type="dxa"/>
            <w:vAlign w:val="center"/>
          </w:tcPr>
          <w:p>
            <w:pPr>
              <w:spacing w:line="360" w:lineRule="auto"/>
              <w:jc w:val="center"/>
              <w:rPr>
                <w:b/>
                <w:sz w:val="24"/>
              </w:rPr>
            </w:pPr>
            <w:r>
              <w:rPr>
                <w:rFonts w:hint="eastAsia"/>
                <w:b/>
                <w:sz w:val="24"/>
              </w:rPr>
              <w:t>合价</w:t>
            </w:r>
          </w:p>
        </w:tc>
        <w:tc>
          <w:tcPr>
            <w:tcW w:w="1271" w:type="dxa"/>
            <w:vAlign w:val="center"/>
          </w:tcPr>
          <w:p>
            <w:pPr>
              <w:spacing w:line="36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24" w:type="dxa"/>
            <w:vAlign w:val="center"/>
          </w:tcPr>
          <w:p>
            <w:pPr>
              <w:spacing w:line="360" w:lineRule="auto"/>
              <w:jc w:val="center"/>
              <w:rPr>
                <w:b/>
                <w:sz w:val="24"/>
              </w:rPr>
            </w:pPr>
          </w:p>
        </w:tc>
        <w:tc>
          <w:tcPr>
            <w:tcW w:w="1157" w:type="dxa"/>
            <w:vAlign w:val="center"/>
          </w:tcPr>
          <w:p>
            <w:pPr>
              <w:spacing w:line="360" w:lineRule="auto"/>
              <w:rPr>
                <w:sz w:val="24"/>
              </w:rPr>
            </w:pPr>
          </w:p>
        </w:tc>
        <w:tc>
          <w:tcPr>
            <w:tcW w:w="1080" w:type="dxa"/>
            <w:vAlign w:val="center"/>
          </w:tcPr>
          <w:p>
            <w:pPr>
              <w:spacing w:line="360" w:lineRule="auto"/>
              <w:rPr>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93"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24" w:type="dxa"/>
            <w:vAlign w:val="center"/>
          </w:tcPr>
          <w:p>
            <w:pPr>
              <w:spacing w:line="360" w:lineRule="auto"/>
              <w:jc w:val="center"/>
              <w:rPr>
                <w:sz w:val="24"/>
              </w:rPr>
            </w:pPr>
          </w:p>
        </w:tc>
        <w:tc>
          <w:tcPr>
            <w:tcW w:w="1157" w:type="dxa"/>
            <w:vAlign w:val="center"/>
          </w:tcPr>
          <w:p>
            <w:pPr>
              <w:spacing w:line="360" w:lineRule="auto"/>
              <w:ind w:right="-107" w:rightChars="-51"/>
              <w:rPr>
                <w:sz w:val="24"/>
              </w:rPr>
            </w:pPr>
          </w:p>
        </w:tc>
        <w:tc>
          <w:tcPr>
            <w:tcW w:w="1080" w:type="dxa"/>
            <w:vAlign w:val="center"/>
          </w:tcPr>
          <w:p>
            <w:pPr>
              <w:spacing w:line="360" w:lineRule="auto"/>
              <w:ind w:right="-107" w:rightChars="-51"/>
              <w:rPr>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93"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sz w:val="24"/>
              </w:rPr>
            </w:pPr>
          </w:p>
        </w:tc>
        <w:tc>
          <w:tcPr>
            <w:tcW w:w="1157" w:type="dxa"/>
            <w:vAlign w:val="center"/>
          </w:tcPr>
          <w:p>
            <w:pPr>
              <w:spacing w:line="360" w:lineRule="auto"/>
              <w:rPr>
                <w:b/>
                <w:sz w:val="24"/>
              </w:rPr>
            </w:pPr>
          </w:p>
        </w:tc>
        <w:tc>
          <w:tcPr>
            <w:tcW w:w="1080" w:type="dxa"/>
            <w:vAlign w:val="center"/>
          </w:tcPr>
          <w:p>
            <w:pPr>
              <w:spacing w:line="360" w:lineRule="auto"/>
              <w:rPr>
                <w:b/>
                <w:sz w:val="24"/>
              </w:rPr>
            </w:pPr>
          </w:p>
        </w:tc>
        <w:tc>
          <w:tcPr>
            <w:tcW w:w="720"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993" w:type="dxa"/>
            <w:vAlign w:val="center"/>
          </w:tcPr>
          <w:p>
            <w:pPr>
              <w:spacing w:line="360" w:lineRule="auto"/>
              <w:jc w:val="center"/>
              <w:rPr>
                <w:sz w:val="24"/>
              </w:rPr>
            </w:pPr>
          </w:p>
        </w:tc>
        <w:tc>
          <w:tcPr>
            <w:tcW w:w="945" w:type="dxa"/>
            <w:vAlign w:val="center"/>
          </w:tcPr>
          <w:p>
            <w:pPr>
              <w:spacing w:line="360" w:lineRule="auto"/>
              <w:jc w:val="center"/>
              <w:rPr>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4" w:type="dxa"/>
            <w:vAlign w:val="center"/>
          </w:tcPr>
          <w:p>
            <w:pPr>
              <w:spacing w:line="360" w:lineRule="auto"/>
              <w:jc w:val="center"/>
              <w:rPr>
                <w:b/>
                <w:sz w:val="24"/>
              </w:rPr>
            </w:pPr>
          </w:p>
        </w:tc>
        <w:tc>
          <w:tcPr>
            <w:tcW w:w="1157" w:type="dxa"/>
            <w:vAlign w:val="center"/>
          </w:tcPr>
          <w:p>
            <w:pPr>
              <w:spacing w:line="360" w:lineRule="auto"/>
              <w:jc w:val="center"/>
              <w:rPr>
                <w:b/>
                <w:sz w:val="24"/>
              </w:rPr>
            </w:pPr>
          </w:p>
        </w:tc>
        <w:tc>
          <w:tcPr>
            <w:tcW w:w="1080" w:type="dxa"/>
            <w:vAlign w:val="center"/>
          </w:tcPr>
          <w:p>
            <w:pPr>
              <w:spacing w:line="360" w:lineRule="auto"/>
              <w:jc w:val="center"/>
              <w:rPr>
                <w:b/>
                <w:sz w:val="24"/>
              </w:rPr>
            </w:pPr>
          </w:p>
        </w:tc>
        <w:tc>
          <w:tcPr>
            <w:tcW w:w="720" w:type="dxa"/>
            <w:vAlign w:val="center"/>
          </w:tcPr>
          <w:p>
            <w:pPr>
              <w:spacing w:line="360" w:lineRule="auto"/>
              <w:jc w:val="center"/>
              <w:rPr>
                <w:b/>
                <w:sz w:val="24"/>
              </w:rPr>
            </w:pPr>
          </w:p>
        </w:tc>
        <w:tc>
          <w:tcPr>
            <w:tcW w:w="777" w:type="dxa"/>
            <w:vAlign w:val="center"/>
          </w:tcPr>
          <w:p>
            <w:pPr>
              <w:spacing w:line="360" w:lineRule="auto"/>
              <w:jc w:val="center"/>
              <w:rPr>
                <w:b/>
                <w:sz w:val="24"/>
              </w:rPr>
            </w:pPr>
          </w:p>
        </w:tc>
        <w:tc>
          <w:tcPr>
            <w:tcW w:w="993" w:type="dxa"/>
            <w:vAlign w:val="center"/>
          </w:tcPr>
          <w:p>
            <w:pPr>
              <w:spacing w:line="360" w:lineRule="auto"/>
              <w:jc w:val="center"/>
              <w:rPr>
                <w:b/>
                <w:sz w:val="24"/>
              </w:rPr>
            </w:pPr>
          </w:p>
        </w:tc>
        <w:tc>
          <w:tcPr>
            <w:tcW w:w="945" w:type="dxa"/>
            <w:vAlign w:val="center"/>
          </w:tcPr>
          <w:p>
            <w:pPr>
              <w:spacing w:line="360" w:lineRule="auto"/>
              <w:jc w:val="center"/>
              <w:rPr>
                <w:b/>
                <w:sz w:val="24"/>
              </w:rPr>
            </w:pPr>
          </w:p>
        </w:tc>
        <w:tc>
          <w:tcPr>
            <w:tcW w:w="980" w:type="dxa"/>
            <w:vAlign w:val="center"/>
          </w:tcPr>
          <w:p>
            <w:pPr>
              <w:spacing w:line="360" w:lineRule="auto"/>
              <w:jc w:val="center"/>
              <w:rPr>
                <w:b/>
                <w:sz w:val="24"/>
              </w:rPr>
            </w:pPr>
          </w:p>
        </w:tc>
        <w:tc>
          <w:tcPr>
            <w:tcW w:w="1298" w:type="dxa"/>
            <w:vAlign w:val="center"/>
          </w:tcPr>
          <w:p>
            <w:pPr>
              <w:spacing w:line="360" w:lineRule="auto"/>
              <w:jc w:val="center"/>
              <w:rPr>
                <w:b/>
                <w:sz w:val="24"/>
              </w:rPr>
            </w:pPr>
          </w:p>
        </w:tc>
        <w:tc>
          <w:tcPr>
            <w:tcW w:w="1271"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exact"/>
        </w:trPr>
        <w:tc>
          <w:tcPr>
            <w:tcW w:w="10045" w:type="dxa"/>
            <w:gridSpan w:val="10"/>
            <w:vAlign w:val="center"/>
          </w:tcPr>
          <w:p>
            <w:pPr>
              <w:tabs>
                <w:tab w:val="left" w:pos="360"/>
              </w:tabs>
              <w:spacing w:line="360" w:lineRule="auto"/>
              <w:rPr>
                <w:bCs/>
                <w:spacing w:val="20"/>
                <w:sz w:val="24"/>
              </w:rPr>
            </w:pPr>
            <w:r>
              <w:rPr>
                <w:rFonts w:hint="eastAsia"/>
                <w:bCs/>
                <w:spacing w:val="20"/>
                <w:sz w:val="24"/>
              </w:rPr>
              <w:t>注:1、本表格中的单价（此单价为固定综合单价）由投标单位根据本招标文件的要求自行填写，并计算出合价。</w:t>
            </w:r>
          </w:p>
          <w:p>
            <w:pPr>
              <w:tabs>
                <w:tab w:val="left" w:pos="360"/>
              </w:tabs>
              <w:spacing w:line="360" w:lineRule="auto"/>
              <w:ind w:firstLine="411" w:firstLineChars="147"/>
              <w:rPr>
                <w:bCs/>
                <w:spacing w:val="20"/>
                <w:sz w:val="24"/>
              </w:rPr>
            </w:pPr>
            <w:r>
              <w:rPr>
                <w:rFonts w:hint="eastAsia"/>
                <w:bCs/>
                <w:spacing w:val="20"/>
                <w:sz w:val="24"/>
              </w:rPr>
              <w:t>2、本表格的工程量为暂定量。实际工程量在工程验收合格量作为结算依据。</w:t>
            </w:r>
          </w:p>
          <w:p>
            <w:pPr>
              <w:spacing w:line="360" w:lineRule="auto"/>
              <w:jc w:val="center"/>
              <w:rPr>
                <w:sz w:val="24"/>
              </w:rPr>
            </w:pPr>
            <w:r>
              <w:rPr>
                <w:rFonts w:hint="eastAsia"/>
                <w:bCs/>
                <w:sz w:val="24"/>
              </w:rPr>
              <w:t xml:space="preserve"> </w:t>
            </w:r>
          </w:p>
        </w:tc>
      </w:tr>
    </w:tbl>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pPr>
        <w:spacing w:line="360" w:lineRule="auto"/>
        <w:rPr>
          <w:b/>
          <w:sz w:val="24"/>
        </w:rPr>
      </w:pPr>
    </w:p>
    <w:p>
      <w:pPr>
        <w:spacing w:line="360" w:lineRule="auto"/>
        <w:ind w:firstLine="5433" w:firstLineChars="2255"/>
        <w:rPr>
          <w:sz w:val="24"/>
          <w:szCs w:val="24"/>
        </w:rPr>
      </w:pPr>
      <w:r>
        <w:rPr>
          <w:rFonts w:hint="eastAsia"/>
          <w:b/>
          <w:sz w:val="24"/>
        </w:rPr>
        <w:t xml:space="preserve">日期：   年   月    日 </w:t>
      </w:r>
    </w:p>
    <w:p>
      <w:pPr>
        <w:tabs>
          <w:tab w:val="left" w:pos="981"/>
        </w:tabs>
        <w:autoSpaceDE w:val="0"/>
        <w:autoSpaceDN w:val="0"/>
        <w:rPr>
          <w:color w:val="000000"/>
          <w:sz w:val="32"/>
          <w:szCs w:val="32"/>
        </w:rPr>
      </w:pPr>
    </w:p>
    <w:p>
      <w:pPr>
        <w:tabs>
          <w:tab w:val="left" w:pos="981"/>
        </w:tabs>
        <w:autoSpaceDE w:val="0"/>
        <w:autoSpaceDN w:val="0"/>
        <w:rPr>
          <w:color w:val="000000"/>
          <w:sz w:val="32"/>
          <w:szCs w:val="32"/>
        </w:rPr>
      </w:pPr>
    </w:p>
    <w:p>
      <w:pPr>
        <w:tabs>
          <w:tab w:val="left" w:pos="981"/>
        </w:tabs>
        <w:autoSpaceDE w:val="0"/>
        <w:autoSpaceDN w:val="0"/>
        <w:jc w:val="right"/>
        <w:rPr>
          <w:color w:val="000000"/>
          <w:sz w:val="24"/>
          <w:szCs w:val="28"/>
        </w:rPr>
      </w:pPr>
      <w:r>
        <w:rPr>
          <w:rFonts w:hint="eastAsia"/>
          <w:color w:val="000000"/>
          <w:sz w:val="24"/>
          <w:szCs w:val="28"/>
        </w:rPr>
        <w:t>招标方案完毕。</w:t>
      </w:r>
    </w:p>
    <w:p>
      <w:pPr>
        <w:tabs>
          <w:tab w:val="left" w:pos="981"/>
        </w:tabs>
        <w:autoSpaceDE w:val="0"/>
        <w:autoSpaceDN w:val="0"/>
        <w:jc w:val="right"/>
        <w:rPr>
          <w:color w:val="000000"/>
          <w:sz w:val="24"/>
          <w:szCs w:val="28"/>
        </w:rPr>
      </w:pPr>
    </w:p>
    <w:p>
      <w:pPr>
        <w:jc w:val="right"/>
        <w:rPr>
          <w:color w:val="000000"/>
          <w:sz w:val="24"/>
          <w:szCs w:val="28"/>
        </w:rPr>
      </w:pPr>
      <w:r>
        <w:rPr>
          <w:rFonts w:hint="eastAsia"/>
          <w:color w:val="000000"/>
          <w:sz w:val="24"/>
          <w:szCs w:val="28"/>
        </w:rPr>
        <w:t>XX（集团）有限公司数字化私有云平台项目小组</w:t>
      </w:r>
    </w:p>
    <w:p>
      <w:pPr>
        <w:tabs>
          <w:tab w:val="left" w:pos="981"/>
        </w:tabs>
        <w:autoSpaceDE w:val="0"/>
        <w:autoSpaceDN w:val="0"/>
        <w:jc w:val="right"/>
        <w:rPr>
          <w:color w:val="000000"/>
          <w:sz w:val="24"/>
          <w:szCs w:val="28"/>
        </w:rPr>
      </w:pPr>
      <w:r>
        <w:rPr>
          <w:rFonts w:hint="eastAsia"/>
          <w:color w:val="000000"/>
          <w:sz w:val="24"/>
          <w:szCs w:val="28"/>
        </w:rPr>
        <w:t>20XX年X月XX日</w:t>
      </w:r>
    </w:p>
    <w:p>
      <w:pPr>
        <w:pStyle w:val="2"/>
      </w:pPr>
    </w:p>
    <w:p>
      <w:pPr>
        <w:pStyle w:val="3"/>
      </w:pPr>
    </w:p>
    <w:p>
      <w:pPr>
        <w:pStyle w:val="3"/>
      </w:pPr>
    </w:p>
    <w:p>
      <w:pPr>
        <w:pStyle w:val="3"/>
      </w:pPr>
    </w:p>
    <w:p>
      <w:pPr>
        <w:pStyle w:val="3"/>
      </w:pPr>
    </w:p>
    <w:p>
      <w:pPr>
        <w:tabs>
          <w:tab w:val="left" w:pos="8049"/>
        </w:tabs>
        <w:autoSpaceDE w:val="0"/>
        <w:autoSpaceDN w:val="0"/>
        <w:adjustRightInd w:val="0"/>
        <w:spacing w:line="720" w:lineRule="auto"/>
        <w:jc w:val="center"/>
        <w:rPr>
          <w:bCs/>
          <w:sz w:val="28"/>
          <w:szCs w:val="28"/>
        </w:rPr>
      </w:pPr>
      <w:r>
        <w:rPr>
          <w:rFonts w:hint="eastAsia"/>
          <w:b/>
          <w:sz w:val="44"/>
          <w:szCs w:val="44"/>
        </w:rPr>
        <w:t>第六章：合同</w:t>
      </w:r>
    </w:p>
    <w:bookmarkEnd w:id="51"/>
    <w:p>
      <w:pPr>
        <w:spacing w:line="360" w:lineRule="auto"/>
        <w:ind w:firstLine="700" w:firstLineChars="250"/>
        <w:jc w:val="center"/>
        <w:rPr>
          <w:bCs/>
          <w:sz w:val="28"/>
          <w:szCs w:val="28"/>
        </w:rPr>
      </w:pPr>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mNKtcBAACy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cu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DpjSrXAQAAsgMAAA4AAAAAAAAAAQAgAAAA&#10;HgEAAGRycy9lMm9Eb2MueG1sUEsFBgAAAAAGAAYAWQEAAGcFAAAAAA==&#10;">
              <v:fill on="f" focussize="0,0"/>
              <v:stroke on="f"/>
              <v:imagedata o:title=""/>
              <o:lock v:ext="edit" aspectratio="f"/>
              <v:textbox inset="0mm,0mm,0mm,0mm" style="mso-fit-shape-to-text:t;">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微软雅黑" w:hAnsi="微软雅黑" w:eastAsia="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微软雅黑" w:hAnsi="微软雅黑" w:eastAsia="微软雅黑" w:cs="微软雅黑"/>
                        <w:b/>
                        <w:bCs/>
                        <w:sz w:val="24"/>
                        <w:szCs w:val="24"/>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91F36"/>
    <w:multiLevelType w:val="singleLevel"/>
    <w:tmpl w:val="90E91F36"/>
    <w:lvl w:ilvl="0" w:tentative="0">
      <w:start w:val="1"/>
      <w:numFmt w:val="bullet"/>
      <w:lvlText w:val=""/>
      <w:lvlJc w:val="left"/>
      <w:pPr>
        <w:ind w:left="420" w:hanging="420"/>
      </w:pPr>
      <w:rPr>
        <w:rFonts w:hint="default" w:ascii="Wingdings" w:hAnsi="Wingdings"/>
      </w:rPr>
    </w:lvl>
  </w:abstractNum>
  <w:abstractNum w:abstractNumId="1">
    <w:nsid w:val="93452217"/>
    <w:multiLevelType w:val="singleLevel"/>
    <w:tmpl w:val="93452217"/>
    <w:lvl w:ilvl="0" w:tentative="0">
      <w:start w:val="1"/>
      <w:numFmt w:val="decimal"/>
      <w:suff w:val="nothing"/>
      <w:lvlText w:val="%1、"/>
      <w:lvlJc w:val="left"/>
    </w:lvl>
  </w:abstractNum>
  <w:abstractNum w:abstractNumId="2">
    <w:nsid w:val="B7ECC409"/>
    <w:multiLevelType w:val="singleLevel"/>
    <w:tmpl w:val="B7ECC409"/>
    <w:lvl w:ilvl="0" w:tentative="0">
      <w:start w:val="1"/>
      <w:numFmt w:val="decimal"/>
      <w:suff w:val="space"/>
      <w:lvlText w:val="%1."/>
      <w:lvlJc w:val="left"/>
    </w:lvl>
  </w:abstractNum>
  <w:abstractNum w:abstractNumId="3">
    <w:nsid w:val="BF4016B8"/>
    <w:multiLevelType w:val="singleLevel"/>
    <w:tmpl w:val="BF4016B8"/>
    <w:lvl w:ilvl="0" w:tentative="0">
      <w:start w:val="1"/>
      <w:numFmt w:val="chineseCounting"/>
      <w:suff w:val="nothing"/>
      <w:lvlText w:val="%1、"/>
      <w:lvlJc w:val="left"/>
      <w:rPr>
        <w:rFonts w:hint="eastAsia"/>
      </w:rPr>
    </w:lvl>
  </w:abstractNum>
  <w:abstractNum w:abstractNumId="4">
    <w:nsid w:val="CC75F8EF"/>
    <w:multiLevelType w:val="singleLevel"/>
    <w:tmpl w:val="CC75F8EF"/>
    <w:lvl w:ilvl="0" w:tentative="0">
      <w:start w:val="1"/>
      <w:numFmt w:val="decimal"/>
      <w:suff w:val="space"/>
      <w:lvlText w:val="%1."/>
      <w:lvlJc w:val="left"/>
    </w:lvl>
  </w:abstractNum>
  <w:abstractNum w:abstractNumId="5">
    <w:nsid w:val="CCBB0559"/>
    <w:multiLevelType w:val="singleLevel"/>
    <w:tmpl w:val="CCBB0559"/>
    <w:lvl w:ilvl="0" w:tentative="0">
      <w:start w:val="1"/>
      <w:numFmt w:val="bullet"/>
      <w:lvlText w:val=""/>
      <w:lvlJc w:val="left"/>
      <w:pPr>
        <w:ind w:left="420" w:hanging="420"/>
      </w:pPr>
      <w:rPr>
        <w:rFonts w:hint="default" w:ascii="Wingdings" w:hAnsi="Wingdings"/>
      </w:rPr>
    </w:lvl>
  </w:abstractNum>
  <w:abstractNum w:abstractNumId="6">
    <w:nsid w:val="D06AEFB7"/>
    <w:multiLevelType w:val="singleLevel"/>
    <w:tmpl w:val="D06AEFB7"/>
    <w:lvl w:ilvl="0" w:tentative="0">
      <w:start w:val="1"/>
      <w:numFmt w:val="bullet"/>
      <w:lvlText w:val=""/>
      <w:lvlJc w:val="left"/>
      <w:pPr>
        <w:ind w:left="420" w:hanging="420"/>
      </w:pPr>
      <w:rPr>
        <w:rFonts w:hint="default" w:ascii="Wingdings" w:hAnsi="Wingdings"/>
      </w:rPr>
    </w:lvl>
  </w:abstractNum>
  <w:abstractNum w:abstractNumId="7">
    <w:nsid w:val="EF8E3EE2"/>
    <w:multiLevelType w:val="singleLevel"/>
    <w:tmpl w:val="EF8E3EE2"/>
    <w:lvl w:ilvl="0" w:tentative="0">
      <w:start w:val="1"/>
      <w:numFmt w:val="bullet"/>
      <w:lvlText w:val=""/>
      <w:lvlJc w:val="left"/>
      <w:pPr>
        <w:ind w:left="420" w:hanging="420"/>
      </w:pPr>
      <w:rPr>
        <w:rFonts w:hint="default" w:ascii="Wingdings" w:hAnsi="Wingdings"/>
      </w:rPr>
    </w:lvl>
  </w:abstractNum>
  <w:abstractNum w:abstractNumId="8">
    <w:nsid w:val="FBE2FE5C"/>
    <w:multiLevelType w:val="singleLevel"/>
    <w:tmpl w:val="FBE2FE5C"/>
    <w:lvl w:ilvl="0" w:tentative="0">
      <w:start w:val="1"/>
      <w:numFmt w:val="chineseCounting"/>
      <w:suff w:val="nothing"/>
      <w:lvlText w:val="%1、"/>
      <w:lvlJc w:val="left"/>
      <w:rPr>
        <w:rFonts w:hint="eastAsia"/>
      </w:rPr>
    </w:lvl>
  </w:abstractNum>
  <w:abstractNum w:abstractNumId="9">
    <w:nsid w:val="00000002"/>
    <w:multiLevelType w:val="multilevel"/>
    <w:tmpl w:val="00000002"/>
    <w:lvl w:ilvl="0" w:tentative="0">
      <w:start w:val="1"/>
      <w:numFmt w:val="bullet"/>
      <w:lvlText w:val=""/>
      <w:lvlJc w:val="left"/>
      <w:pPr>
        <w:tabs>
          <w:tab w:val="left" w:pos="840"/>
        </w:tabs>
        <w:ind w:left="1740" w:hanging="420"/>
      </w:pPr>
      <w:rPr>
        <w:rFonts w:hint="default" w:ascii="Wingdings" w:hAnsi="Wingdings"/>
      </w:rPr>
    </w:lvl>
    <w:lvl w:ilvl="1" w:tentative="0">
      <w:start w:val="1"/>
      <w:numFmt w:val="bullet"/>
      <w:lvlText w:val=""/>
      <w:lvlJc w:val="left"/>
      <w:pPr>
        <w:tabs>
          <w:tab w:val="left" w:pos="840"/>
        </w:tabs>
        <w:ind w:left="2160" w:hanging="420"/>
      </w:pPr>
      <w:rPr>
        <w:rFonts w:hint="default" w:ascii="Wingdings" w:hAnsi="Wingdings"/>
      </w:rPr>
    </w:lvl>
    <w:lvl w:ilvl="2" w:tentative="0">
      <w:start w:val="1"/>
      <w:numFmt w:val="bullet"/>
      <w:lvlText w:val=""/>
      <w:lvlJc w:val="left"/>
      <w:pPr>
        <w:tabs>
          <w:tab w:val="left" w:pos="840"/>
        </w:tabs>
        <w:ind w:left="2580" w:hanging="420"/>
      </w:pPr>
      <w:rPr>
        <w:rFonts w:hint="default" w:ascii="Wingdings" w:hAnsi="Wingdings"/>
      </w:rPr>
    </w:lvl>
    <w:lvl w:ilvl="3" w:tentative="0">
      <w:start w:val="1"/>
      <w:numFmt w:val="bullet"/>
      <w:lvlText w:val=""/>
      <w:lvlJc w:val="left"/>
      <w:pPr>
        <w:tabs>
          <w:tab w:val="left" w:pos="840"/>
        </w:tabs>
        <w:ind w:left="3000" w:hanging="420"/>
      </w:pPr>
      <w:rPr>
        <w:rFonts w:hint="default" w:ascii="Wingdings" w:hAnsi="Wingdings"/>
      </w:rPr>
    </w:lvl>
    <w:lvl w:ilvl="4" w:tentative="0">
      <w:start w:val="1"/>
      <w:numFmt w:val="bullet"/>
      <w:lvlText w:val=""/>
      <w:lvlJc w:val="left"/>
      <w:pPr>
        <w:tabs>
          <w:tab w:val="left" w:pos="840"/>
        </w:tabs>
        <w:ind w:left="3420" w:hanging="420"/>
      </w:pPr>
      <w:rPr>
        <w:rFonts w:hint="default" w:ascii="Wingdings" w:hAnsi="Wingdings"/>
      </w:rPr>
    </w:lvl>
    <w:lvl w:ilvl="5" w:tentative="0">
      <w:start w:val="1"/>
      <w:numFmt w:val="bullet"/>
      <w:lvlText w:val=""/>
      <w:lvlJc w:val="left"/>
      <w:pPr>
        <w:tabs>
          <w:tab w:val="left" w:pos="840"/>
        </w:tabs>
        <w:ind w:left="3840" w:hanging="420"/>
      </w:pPr>
      <w:rPr>
        <w:rFonts w:hint="default" w:ascii="Wingdings" w:hAnsi="Wingdings"/>
      </w:rPr>
    </w:lvl>
    <w:lvl w:ilvl="6" w:tentative="0">
      <w:start w:val="1"/>
      <w:numFmt w:val="bullet"/>
      <w:lvlText w:val=""/>
      <w:lvlJc w:val="left"/>
      <w:pPr>
        <w:tabs>
          <w:tab w:val="left" w:pos="840"/>
        </w:tabs>
        <w:ind w:left="4260" w:hanging="420"/>
      </w:pPr>
      <w:rPr>
        <w:rFonts w:hint="default" w:ascii="Wingdings" w:hAnsi="Wingdings"/>
      </w:rPr>
    </w:lvl>
    <w:lvl w:ilvl="7" w:tentative="0">
      <w:start w:val="1"/>
      <w:numFmt w:val="bullet"/>
      <w:lvlText w:val=""/>
      <w:lvlJc w:val="left"/>
      <w:pPr>
        <w:tabs>
          <w:tab w:val="left" w:pos="840"/>
        </w:tabs>
        <w:ind w:left="4680" w:hanging="420"/>
      </w:pPr>
      <w:rPr>
        <w:rFonts w:hint="default" w:ascii="Wingdings" w:hAnsi="Wingdings"/>
      </w:rPr>
    </w:lvl>
    <w:lvl w:ilvl="8" w:tentative="0">
      <w:start w:val="1"/>
      <w:numFmt w:val="bullet"/>
      <w:lvlText w:val=""/>
      <w:lvlJc w:val="left"/>
      <w:pPr>
        <w:tabs>
          <w:tab w:val="left" w:pos="840"/>
        </w:tabs>
        <w:ind w:left="5100" w:hanging="420"/>
      </w:pPr>
      <w:rPr>
        <w:rFonts w:hint="default" w:ascii="Wingdings" w:hAnsi="Wingdings"/>
      </w:rPr>
    </w:lvl>
  </w:abstractNum>
  <w:abstractNum w:abstractNumId="10">
    <w:nsid w:val="01746B51"/>
    <w:multiLevelType w:val="multilevel"/>
    <w:tmpl w:val="01746B51"/>
    <w:lvl w:ilvl="0" w:tentative="0">
      <w:start w:val="1"/>
      <w:numFmt w:val="bullet"/>
      <w:lvlText w:val=""/>
      <w:lvlJc w:val="left"/>
      <w:pPr>
        <w:ind w:left="1271" w:hanging="420"/>
      </w:pPr>
      <w:rPr>
        <w:rFonts w:hint="default" w:ascii="Symbol" w:hAnsi="Symbol"/>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1">
    <w:nsid w:val="076F6F3A"/>
    <w:multiLevelType w:val="multilevel"/>
    <w:tmpl w:val="076F6F3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80D1E86"/>
    <w:multiLevelType w:val="multilevel"/>
    <w:tmpl w:val="080D1E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8F0B3AD"/>
    <w:multiLevelType w:val="singleLevel"/>
    <w:tmpl w:val="08F0B3AD"/>
    <w:lvl w:ilvl="0" w:tentative="0">
      <w:start w:val="1"/>
      <w:numFmt w:val="decimal"/>
      <w:suff w:val="space"/>
      <w:lvlText w:val="%1."/>
      <w:lvlJc w:val="left"/>
    </w:lvl>
  </w:abstractNum>
  <w:abstractNum w:abstractNumId="14">
    <w:nsid w:val="124F1F7E"/>
    <w:multiLevelType w:val="multilevel"/>
    <w:tmpl w:val="124F1F7E"/>
    <w:lvl w:ilvl="0" w:tentative="0">
      <w:start w:val="1"/>
      <w:numFmt w:val="decimal"/>
      <w:lvlText w:val="%1)"/>
      <w:lvlJc w:val="left"/>
      <w:pPr>
        <w:ind w:left="900" w:hanging="420"/>
      </w:pPr>
    </w:lvl>
    <w:lvl w:ilvl="1" w:tentative="0">
      <w:start w:val="1"/>
      <w:numFmt w:val="upperLetter"/>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3AB49CA"/>
    <w:multiLevelType w:val="multilevel"/>
    <w:tmpl w:val="13AB49CA"/>
    <w:lvl w:ilvl="0" w:tentative="0">
      <w:start w:val="1"/>
      <w:numFmt w:val="chineseCountingThousand"/>
      <w:pStyle w:val="39"/>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6">
    <w:nsid w:val="172D525E"/>
    <w:multiLevelType w:val="multilevel"/>
    <w:tmpl w:val="172D52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B4432E3"/>
    <w:multiLevelType w:val="multilevel"/>
    <w:tmpl w:val="1B4432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1F315322"/>
    <w:multiLevelType w:val="multilevel"/>
    <w:tmpl w:val="1F31532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2B144F4F"/>
    <w:multiLevelType w:val="multilevel"/>
    <w:tmpl w:val="2B144F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33672D23"/>
    <w:multiLevelType w:val="multilevel"/>
    <w:tmpl w:val="33672D2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2">
    <w:nsid w:val="45041F06"/>
    <w:multiLevelType w:val="singleLevel"/>
    <w:tmpl w:val="45041F06"/>
    <w:lvl w:ilvl="0" w:tentative="0">
      <w:start w:val="1"/>
      <w:numFmt w:val="decimal"/>
      <w:suff w:val="nothing"/>
      <w:lvlText w:val="%1、"/>
      <w:lvlJc w:val="left"/>
      <w:rPr>
        <w:rFonts w:hint="default"/>
        <w:color w:val="auto"/>
      </w:rPr>
    </w:lvl>
  </w:abstractNum>
  <w:abstractNum w:abstractNumId="23">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4B2D32D3"/>
    <w:multiLevelType w:val="multilevel"/>
    <w:tmpl w:val="4B2D32D3"/>
    <w:lvl w:ilvl="0" w:tentative="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04" w:hanging="420"/>
      </w:pPr>
      <w:rPr>
        <w:rFonts w:hint="eastAsia"/>
      </w:rPr>
    </w:lvl>
    <w:lvl w:ilvl="2" w:tentative="0">
      <w:start w:val="1"/>
      <w:numFmt w:val="decimal"/>
      <w:lvlRestart w:val="1"/>
      <w:isLgl/>
      <w:lvlText w:val="%1.%2.%3"/>
      <w:lvlJc w:val="left"/>
      <w:pPr>
        <w:ind w:left="284" w:firstLine="283"/>
      </w:pPr>
      <w:rPr>
        <w:rFonts w:hint="eastAsia" w:ascii="宋体" w:hAnsi="宋体" w:eastAsia="宋体"/>
        <w:sz w:val="28"/>
      </w:rPr>
    </w:lvl>
    <w:lvl w:ilvl="3" w:tentative="0">
      <w:start w:val="1"/>
      <w:numFmt w:val="decimal"/>
      <w:pStyle w:val="7"/>
      <w:isLgl/>
      <w:lvlText w:val="%1.%2.%3.%4"/>
      <w:lvlJc w:val="left"/>
      <w:pPr>
        <w:ind w:left="988" w:hanging="420"/>
      </w:pPr>
      <w:rPr>
        <w:rFonts w:hint="eastAsia"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4B460470"/>
    <w:multiLevelType w:val="multilevel"/>
    <w:tmpl w:val="4B4604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6DD6314"/>
    <w:multiLevelType w:val="singleLevel"/>
    <w:tmpl w:val="56DD6314"/>
    <w:lvl w:ilvl="0" w:tentative="0">
      <w:start w:val="6"/>
      <w:numFmt w:val="decimal"/>
      <w:suff w:val="nothing"/>
      <w:lvlText w:val="%1、"/>
      <w:lvlJc w:val="left"/>
    </w:lvl>
  </w:abstractNum>
  <w:abstractNum w:abstractNumId="27">
    <w:nsid w:val="63F03C1B"/>
    <w:multiLevelType w:val="multilevel"/>
    <w:tmpl w:val="63F03C1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9628445"/>
    <w:multiLevelType w:val="singleLevel"/>
    <w:tmpl w:val="79628445"/>
    <w:lvl w:ilvl="0" w:tentative="0">
      <w:start w:val="1"/>
      <w:numFmt w:val="decimal"/>
      <w:suff w:val="nothing"/>
      <w:lvlText w:val="%1、"/>
      <w:lvlJc w:val="left"/>
    </w:lvl>
  </w:abstractNum>
  <w:num w:numId="1">
    <w:abstractNumId w:val="24"/>
  </w:num>
  <w:num w:numId="2">
    <w:abstractNumId w:val="21"/>
  </w:num>
  <w:num w:numId="3">
    <w:abstractNumId w:val="15"/>
  </w:num>
  <w:num w:numId="4">
    <w:abstractNumId w:val="3"/>
  </w:num>
  <w:num w:numId="5">
    <w:abstractNumId w:val="22"/>
  </w:num>
  <w:num w:numId="6">
    <w:abstractNumId w:val="1"/>
  </w:num>
  <w:num w:numId="7">
    <w:abstractNumId w:val="28"/>
  </w:num>
  <w:num w:numId="8">
    <w:abstractNumId w:val="16"/>
  </w:num>
  <w:num w:numId="9">
    <w:abstractNumId w:val="10"/>
  </w:num>
  <w:num w:numId="10">
    <w:abstractNumId w:val="4"/>
  </w:num>
  <w:num w:numId="11">
    <w:abstractNumId w:val="27"/>
  </w:num>
  <w:num w:numId="12">
    <w:abstractNumId w:val="2"/>
  </w:num>
  <w:num w:numId="13">
    <w:abstractNumId w:val="19"/>
  </w:num>
  <w:num w:numId="14">
    <w:abstractNumId w:val="5"/>
  </w:num>
  <w:num w:numId="15">
    <w:abstractNumId w:val="0"/>
  </w:num>
  <w:num w:numId="16">
    <w:abstractNumId w:val="6"/>
  </w:num>
  <w:num w:numId="17">
    <w:abstractNumId w:val="7"/>
  </w:num>
  <w:num w:numId="18">
    <w:abstractNumId w:val="9"/>
  </w:num>
  <w:num w:numId="19">
    <w:abstractNumId w:val="11"/>
  </w:num>
  <w:num w:numId="20">
    <w:abstractNumId w:val="17"/>
  </w:num>
  <w:num w:numId="21">
    <w:abstractNumId w:val="20"/>
  </w:num>
  <w:num w:numId="22">
    <w:abstractNumId w:val="25"/>
  </w:num>
  <w:num w:numId="23">
    <w:abstractNumId w:val="14"/>
  </w:num>
  <w:num w:numId="24">
    <w:abstractNumId w:val="18"/>
  </w:num>
  <w:num w:numId="25">
    <w:abstractNumId w:val="26"/>
  </w:num>
  <w:num w:numId="26">
    <w:abstractNumId w:val="13"/>
  </w:num>
  <w:num w:numId="27">
    <w:abstractNumId w:val="23"/>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DM2ZThhMTZlZTgzOWRkNDk0MmE3MGUxNjA5NTIifQ=="/>
  </w:docVars>
  <w:rsids>
    <w:rsidRoot w:val="00B64F4E"/>
    <w:rsid w:val="000118A6"/>
    <w:rsid w:val="00086512"/>
    <w:rsid w:val="000969AD"/>
    <w:rsid w:val="000F441E"/>
    <w:rsid w:val="0010069E"/>
    <w:rsid w:val="00104680"/>
    <w:rsid w:val="00126F41"/>
    <w:rsid w:val="001B792A"/>
    <w:rsid w:val="001E72AD"/>
    <w:rsid w:val="00252F22"/>
    <w:rsid w:val="00282FF1"/>
    <w:rsid w:val="002A2DA6"/>
    <w:rsid w:val="002A79CB"/>
    <w:rsid w:val="002B7668"/>
    <w:rsid w:val="00315417"/>
    <w:rsid w:val="003776EC"/>
    <w:rsid w:val="0039285B"/>
    <w:rsid w:val="003A244D"/>
    <w:rsid w:val="003C0853"/>
    <w:rsid w:val="003C0A7E"/>
    <w:rsid w:val="003C10D3"/>
    <w:rsid w:val="0048568C"/>
    <w:rsid w:val="0049079F"/>
    <w:rsid w:val="004B0FE7"/>
    <w:rsid w:val="004F51E5"/>
    <w:rsid w:val="00511D1E"/>
    <w:rsid w:val="00577DFC"/>
    <w:rsid w:val="005C07E3"/>
    <w:rsid w:val="005C6923"/>
    <w:rsid w:val="005E4FA5"/>
    <w:rsid w:val="006C2A28"/>
    <w:rsid w:val="00713AB3"/>
    <w:rsid w:val="0076323E"/>
    <w:rsid w:val="007D01A1"/>
    <w:rsid w:val="00801DE7"/>
    <w:rsid w:val="00901C96"/>
    <w:rsid w:val="00932913"/>
    <w:rsid w:val="00B64F4E"/>
    <w:rsid w:val="00BA007D"/>
    <w:rsid w:val="00BA3803"/>
    <w:rsid w:val="00C00B99"/>
    <w:rsid w:val="00CE062D"/>
    <w:rsid w:val="00CE29C6"/>
    <w:rsid w:val="00DC43AF"/>
    <w:rsid w:val="00E03715"/>
    <w:rsid w:val="00E55901"/>
    <w:rsid w:val="00E91868"/>
    <w:rsid w:val="00F42FA2"/>
    <w:rsid w:val="00F50074"/>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D634E6"/>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B25FDA"/>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CB16BA"/>
    <w:rsid w:val="09E162A4"/>
    <w:rsid w:val="09E87633"/>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630CC0"/>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CE646F"/>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CCF7CB8"/>
    <w:rsid w:val="1D04257E"/>
    <w:rsid w:val="1D342CB3"/>
    <w:rsid w:val="1D5E705D"/>
    <w:rsid w:val="1DD70FED"/>
    <w:rsid w:val="1E334EC9"/>
    <w:rsid w:val="1E360515"/>
    <w:rsid w:val="1E3C6CC4"/>
    <w:rsid w:val="1E9B4F56"/>
    <w:rsid w:val="1EA41923"/>
    <w:rsid w:val="1EAC4C7B"/>
    <w:rsid w:val="1EF83A1C"/>
    <w:rsid w:val="1F12421B"/>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5E17A7"/>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A55561"/>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856FDD"/>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9329DF"/>
    <w:rsid w:val="4DC81677"/>
    <w:rsid w:val="4DEE5E67"/>
    <w:rsid w:val="4E011444"/>
    <w:rsid w:val="4E9E163B"/>
    <w:rsid w:val="4EB250E6"/>
    <w:rsid w:val="4EC015B1"/>
    <w:rsid w:val="4EC90DBA"/>
    <w:rsid w:val="4EE334F2"/>
    <w:rsid w:val="4EF61477"/>
    <w:rsid w:val="4F165675"/>
    <w:rsid w:val="4F365D17"/>
    <w:rsid w:val="4F391364"/>
    <w:rsid w:val="4F775585"/>
    <w:rsid w:val="4FBF5D0D"/>
    <w:rsid w:val="504B57F2"/>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2154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386973"/>
    <w:rsid w:val="5B5B7B9E"/>
    <w:rsid w:val="5BAF30D9"/>
    <w:rsid w:val="5BD91F04"/>
    <w:rsid w:val="5BD96932"/>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6EB6E47"/>
    <w:rsid w:val="67544B35"/>
    <w:rsid w:val="676045C9"/>
    <w:rsid w:val="67786A75"/>
    <w:rsid w:val="679915EE"/>
    <w:rsid w:val="67A552B7"/>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2509A8"/>
    <w:rsid w:val="6F7E3097"/>
    <w:rsid w:val="6FB54030"/>
    <w:rsid w:val="6FBB39A3"/>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F3379FA"/>
    <w:rsid w:val="7F460DAF"/>
    <w:rsid w:val="7F747C6F"/>
    <w:rsid w:val="7F8C2C66"/>
    <w:rsid w:val="7F8F0515"/>
    <w:rsid w:val="7F9A15D1"/>
    <w:rsid w:val="7FB64187"/>
    <w:rsid w:val="7FF37189"/>
    <w:rsid w:val="B3A6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adjustRightInd w:val="0"/>
      <w:snapToGrid w:val="0"/>
      <w:spacing w:before="120" w:after="120" w:line="360" w:lineRule="auto"/>
      <w:jc w:val="left"/>
      <w:outlineLvl w:val="1"/>
    </w:pPr>
    <w:rPr>
      <w:rFonts w:ascii="Arial" w:hAnsi="Arial"/>
      <w:b/>
      <w:bCs/>
      <w:sz w:val="28"/>
      <w:szCs w:val="32"/>
    </w:rPr>
  </w:style>
  <w:style w:type="paragraph" w:styleId="6">
    <w:name w:val="heading 3"/>
    <w:basedOn w:val="1"/>
    <w:next w:val="1"/>
    <w:qFormat/>
    <w:uiPriority w:val="0"/>
    <w:pPr>
      <w:keepNext/>
      <w:keepLines/>
      <w:snapToGrid w:val="0"/>
      <w:spacing w:line="360" w:lineRule="auto"/>
      <w:outlineLvl w:val="2"/>
    </w:pPr>
    <w:rPr>
      <w:b/>
      <w:bCs/>
      <w:szCs w:val="32"/>
    </w:rPr>
  </w:style>
  <w:style w:type="paragraph" w:styleId="7">
    <w:name w:val="heading 4"/>
    <w:basedOn w:val="1"/>
    <w:next w:val="1"/>
    <w:unhideWhenUsed/>
    <w:qFormat/>
    <w:uiPriority w:val="9"/>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annotation text"/>
    <w:basedOn w:val="1"/>
    <w:unhideWhenUsed/>
    <w:qFormat/>
    <w:uiPriority w:val="99"/>
    <w:pPr>
      <w:jc w:val="left"/>
    </w:pPr>
  </w:style>
  <w:style w:type="paragraph" w:styleId="9">
    <w:name w:val="Body Text 3"/>
    <w:basedOn w:val="1"/>
    <w:qFormat/>
    <w:uiPriority w:val="0"/>
    <w:pPr>
      <w:framePr w:hSpace="180" w:wrap="around" w:vAnchor="text" w:hAnchor="margin" w:x="-417" w:y="470"/>
      <w:spacing w:line="400" w:lineRule="exact"/>
    </w:pPr>
    <w:rPr>
      <w:rFonts w:ascii="幼圆" w:eastAsia="幼圆"/>
      <w:sz w:val="24"/>
    </w:rPr>
  </w:style>
  <w:style w:type="paragraph" w:styleId="10">
    <w:name w:val="Body Text"/>
    <w:basedOn w:val="1"/>
    <w:next w:val="11"/>
    <w:qFormat/>
    <w:uiPriority w:val="0"/>
    <w:pPr>
      <w:spacing w:after="120"/>
    </w:pPr>
  </w:style>
  <w:style w:type="paragraph" w:styleId="11">
    <w:name w:val="Quote"/>
    <w:basedOn w:val="1"/>
    <w:next w:val="1"/>
    <w:qFormat/>
    <w:uiPriority w:val="0"/>
    <w:rPr>
      <w:rFonts w:ascii="Times New Roman"/>
      <w:i/>
      <w:iCs/>
      <w:color w:val="000000"/>
      <w:sz w:val="20"/>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hAnsi="Courier New"/>
      <w:szCs w:val="21"/>
    </w:rPr>
  </w:style>
  <w:style w:type="paragraph" w:styleId="15">
    <w:name w:val="Date"/>
    <w:basedOn w:val="1"/>
    <w:next w:val="1"/>
    <w:qFormat/>
    <w:uiPriority w:val="0"/>
    <w:pPr>
      <w:ind w:left="100" w:leftChars="2500"/>
    </w:pPr>
    <w:rPr>
      <w:spacing w:val="4"/>
      <w:sz w:val="2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440" w:lineRule="exact"/>
      <w:jc w:val="center"/>
    </w:pPr>
  </w:style>
  <w:style w:type="paragraph" w:styleId="19">
    <w:name w:val="Body Text Indent 3"/>
    <w:basedOn w:val="1"/>
    <w:qFormat/>
    <w:uiPriority w:val="0"/>
    <w:pPr>
      <w:ind w:firstLine="576" w:firstLineChars="200"/>
    </w:pPr>
    <w:rPr>
      <w:spacing w:val="4"/>
      <w:sz w:val="28"/>
    </w:rPr>
  </w:style>
  <w:style w:type="paragraph" w:styleId="20">
    <w:name w:val="toc 2"/>
    <w:basedOn w:val="1"/>
    <w:next w:val="1"/>
    <w:qFormat/>
    <w:uiPriority w:val="39"/>
    <w:pPr>
      <w:ind w:left="420" w:leftChars="200"/>
    </w:pPr>
  </w:style>
  <w:style w:type="paragraph" w:styleId="21">
    <w:name w:val="Title"/>
    <w:basedOn w:val="1"/>
    <w:next w:val="1"/>
    <w:link w:val="41"/>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10"/>
    <w:unhideWhenUsed/>
    <w:qFormat/>
    <w:uiPriority w:val="99"/>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99"/>
    <w:rPr>
      <w:color w:val="0000FF"/>
      <w:u w:val="single"/>
    </w:rPr>
  </w:style>
  <w:style w:type="paragraph" w:customStyle="1" w:styleId="27">
    <w:name w:val="首行缩进"/>
    <w:basedOn w:val="1"/>
    <w:qFormat/>
    <w:uiPriority w:val="0"/>
    <w:pPr>
      <w:spacing w:line="360" w:lineRule="auto"/>
      <w:ind w:firstLine="480" w:firstLineChars="200"/>
    </w:pPr>
    <w:rPr>
      <w:kern w:val="0"/>
      <w:sz w:val="24"/>
    </w:rPr>
  </w:style>
  <w:style w:type="paragraph" w:customStyle="1" w:styleId="28">
    <w:name w:val="_Style 6"/>
    <w:basedOn w:val="4"/>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29">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Cs w:val="20"/>
    </w:rPr>
  </w:style>
  <w:style w:type="paragraph" w:customStyle="1" w:styleId="30">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31">
    <w:name w:val="Body text|1"/>
    <w:basedOn w:val="1"/>
    <w:qFormat/>
    <w:uiPriority w:val="0"/>
    <w:pPr>
      <w:spacing w:line="430" w:lineRule="auto"/>
      <w:ind w:firstLine="400"/>
    </w:pPr>
    <w:rPr>
      <w:sz w:val="20"/>
      <w:szCs w:val="20"/>
      <w:lang w:val="zh-TW" w:eastAsia="zh-TW" w:bidi="zh-TW"/>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List Paragraph1"/>
    <w:basedOn w:val="1"/>
    <w:qFormat/>
    <w:uiPriority w:val="34"/>
    <w:pPr>
      <w:ind w:firstLine="420" w:firstLineChars="200"/>
    </w:pPr>
  </w:style>
  <w:style w:type="paragraph" w:customStyle="1" w:styleId="34">
    <w:name w:val="xl51"/>
    <w:basedOn w:val="1"/>
    <w:qFormat/>
    <w:uiPriority w:val="0"/>
    <w:pPr>
      <w:widowControl/>
      <w:pBdr>
        <w:bottom w:val="single" w:color="auto" w:sz="4" w:space="0"/>
      </w:pBdr>
      <w:spacing w:before="100" w:beforeAutospacing="1" w:after="100" w:afterAutospacing="1"/>
      <w:jc w:val="center"/>
      <w:textAlignment w:val="center"/>
    </w:pPr>
    <w:rPr>
      <w:b/>
      <w:bCs/>
      <w:kern w:val="0"/>
      <w:sz w:val="32"/>
      <w:szCs w:val="32"/>
    </w:rPr>
  </w:style>
  <w:style w:type="paragraph" w:customStyle="1" w:styleId="35">
    <w:name w:val="宋体小四正文"/>
    <w:basedOn w:val="1"/>
    <w:qFormat/>
    <w:uiPriority w:val="0"/>
    <w:pPr>
      <w:spacing w:line="360" w:lineRule="auto"/>
      <w:ind w:firstLine="200" w:firstLineChars="200"/>
    </w:pPr>
    <w:rPr>
      <w:color w:val="000000"/>
      <w:sz w:val="24"/>
      <w:szCs w:val="28"/>
    </w:rPr>
  </w:style>
  <w:style w:type="paragraph" w:customStyle="1" w:styleId="36">
    <w:name w:val="_Style 5"/>
    <w:basedOn w:val="1"/>
    <w:qFormat/>
    <w:uiPriority w:val="0"/>
    <w:pPr>
      <w:adjustRightInd w:val="0"/>
      <w:spacing w:line="360" w:lineRule="atLeast"/>
      <w:ind w:firstLine="420" w:firstLineChars="200"/>
      <w:jc w:val="left"/>
    </w:pPr>
    <w:rPr>
      <w:rFonts w:ascii="Times New Roman" w:hAnsi="Times New Roman" w:cs="Times New Roman"/>
      <w:kern w:val="0"/>
      <w:sz w:val="24"/>
      <w:szCs w:val="20"/>
    </w:rPr>
  </w:style>
  <w:style w:type="paragraph" w:customStyle="1" w:styleId="37">
    <w:name w:val="列表段落1"/>
    <w:basedOn w:val="1"/>
    <w:qFormat/>
    <w:uiPriority w:val="34"/>
    <w:pPr>
      <w:ind w:firstLine="420" w:firstLineChars="200"/>
    </w:pPr>
  </w:style>
  <w:style w:type="table" w:customStyle="1" w:styleId="38">
    <w:name w:val="TableGrid"/>
    <w:qFormat/>
    <w:uiPriority w:val="0"/>
    <w:tblPr>
      <w:tblCellMar>
        <w:top w:w="0" w:type="dxa"/>
        <w:left w:w="0" w:type="dxa"/>
        <w:bottom w:w="0" w:type="dxa"/>
        <w:right w:w="0" w:type="dxa"/>
      </w:tblCellMar>
    </w:tblPr>
  </w:style>
  <w:style w:type="paragraph" w:customStyle="1" w:styleId="39">
    <w:name w:val="节"/>
    <w:basedOn w:val="5"/>
    <w:qFormat/>
    <w:uiPriority w:val="0"/>
    <w:pPr>
      <w:numPr>
        <w:ilvl w:val="0"/>
        <w:numId w:val="3"/>
      </w:numPr>
      <w:tabs>
        <w:tab w:val="left" w:pos="576"/>
      </w:tabs>
      <w:spacing w:line="240" w:lineRule="auto"/>
    </w:pPr>
    <w:rPr>
      <w:rFonts w:ascii="黑体" w:eastAsia="黑体" w:cs="Times New Roman"/>
      <w:b w:val="0"/>
      <w:szCs w:val="28"/>
    </w:rPr>
  </w:style>
  <w:style w:type="paragraph" w:customStyle="1" w:styleId="40">
    <w:name w:val="列表段落11"/>
    <w:basedOn w:val="1"/>
    <w:qFormat/>
    <w:uiPriority w:val="34"/>
    <w:pPr>
      <w:ind w:firstLine="420" w:firstLineChars="200"/>
    </w:pPr>
  </w:style>
  <w:style w:type="character" w:customStyle="1" w:styleId="41">
    <w:name w:val="Title Char"/>
    <w:basedOn w:val="25"/>
    <w:link w:val="21"/>
    <w:qFormat/>
    <w:uiPriority w:val="0"/>
    <w:rPr>
      <w:rFonts w:asciiTheme="majorHAnsi" w:hAnsiTheme="majorHAnsi" w:eastAsiaTheme="majorEastAsia" w:cstheme="majorBidi"/>
      <w:b/>
      <w:bCs/>
      <w:kern w:val="2"/>
      <w:sz w:val="32"/>
      <w:szCs w:val="32"/>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058B7-79FF-48C8-A546-5F6F3F589144}">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18144</Words>
  <Characters>18917</Characters>
  <Lines>148</Lines>
  <Paragraphs>41</Paragraphs>
  <TotalTime>1294</TotalTime>
  <ScaleCrop>false</ScaleCrop>
  <LinksUpToDate>false</LinksUpToDate>
  <CharactersWithSpaces>19495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2021-05-11T11:12:00Z</dcterms:created>
  <dc:creator>Vason</dc:creator>
  <cp:lastModifiedBy>WPS_1525316848</cp:lastModifiedBy>
  <cp:lastPrinted>2021-09-15T17:29:00Z</cp:lastPrinted>
  <dcterms:modified xsi:type="dcterms:W3CDTF">2023-05-31T02:53:51Z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DCABBDE3AEBF4003A96839642B803E0D_13</vt:lpwstr>
  </property>
</Properties>
</file>