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4606E5">
      <w:pPr>
        <w:spacing w:after="240"/>
        <w:jc w:val="center"/>
        <w:rPr>
          <w:sz w:val="20"/>
          <w:szCs w:val="20"/>
          <w:lang w:eastAsia="zh-CN"/>
        </w:rPr>
      </w:pPr>
      <w:r>
        <w:rPr>
          <w:rFonts w:ascii="黑体" w:hAnsi="黑体" w:eastAsia="黑体"/>
          <w:b/>
          <w:color w:val="000000"/>
          <w:sz w:val="28"/>
          <w:szCs w:val="20"/>
          <w:lang w:eastAsia="zh-CN"/>
        </w:rPr>
        <w:t>零食有鸣</w:t>
      </w:r>
      <w:r>
        <w:rPr>
          <w:rFonts w:hint="eastAsia" w:ascii="黑体" w:hAnsi="黑体" w:eastAsia="黑体"/>
          <w:b/>
          <w:color w:val="000000"/>
          <w:sz w:val="28"/>
          <w:szCs w:val="20"/>
          <w:lang w:eastAsia="zh-CN"/>
        </w:rPr>
        <w:t>自营常温仓</w:t>
      </w:r>
      <w:r>
        <w:rPr>
          <w:rFonts w:ascii="黑体" w:hAnsi="黑体" w:eastAsia="黑体"/>
          <w:b/>
          <w:color w:val="000000"/>
          <w:sz w:val="28"/>
          <w:szCs w:val="20"/>
          <w:lang w:eastAsia="zh-CN"/>
        </w:rPr>
        <w:t>综合虫害管理（IPM）服务商遴选告知函</w:t>
      </w:r>
    </w:p>
    <w:p w14:paraId="43835C8D">
      <w:pPr>
        <w:spacing w:after="0" w:line="360" w:lineRule="auto"/>
        <w:ind w:firstLine="420"/>
        <w:jc w:val="both"/>
        <w:rPr>
          <w:rFonts w:eastAsia="宋体"/>
          <w:sz w:val="21"/>
          <w:szCs w:val="21"/>
          <w:lang w:eastAsia="zh-CN"/>
        </w:rPr>
      </w:pPr>
      <w:r>
        <w:rPr>
          <w:rFonts w:ascii="宋体" w:hAnsi="宋体" w:eastAsia="宋体"/>
          <w:sz w:val="22"/>
          <w:szCs w:val="21"/>
          <w:lang w:eastAsia="zh-CN"/>
        </w:rPr>
        <w:t>我司仓储物流中心</w:t>
      </w:r>
      <w:r>
        <w:rPr>
          <w:rFonts w:hint="eastAsia" w:ascii="宋体" w:hAnsi="宋体" w:eastAsia="宋体"/>
          <w:sz w:val="22"/>
          <w:szCs w:val="21"/>
          <w:lang w:eastAsia="zh-CN"/>
        </w:rPr>
        <w:t>自营</w:t>
      </w:r>
      <w:r>
        <w:rPr>
          <w:rFonts w:ascii="宋体" w:hAnsi="宋体" w:eastAsia="宋体"/>
          <w:sz w:val="22"/>
          <w:szCs w:val="21"/>
          <w:lang w:eastAsia="zh-CN"/>
        </w:rPr>
        <w:t>常温仓</w:t>
      </w:r>
      <w:r>
        <w:rPr>
          <w:rFonts w:hint="eastAsia" w:ascii="宋体" w:hAnsi="宋体" w:eastAsia="宋体"/>
          <w:sz w:val="22"/>
          <w:szCs w:val="21"/>
          <w:lang w:eastAsia="zh-CN"/>
        </w:rPr>
        <w:t>（详细仓库信息见附件1）</w:t>
      </w:r>
      <w:r>
        <w:rPr>
          <w:rFonts w:ascii="宋体" w:hAnsi="宋体" w:eastAsia="宋体"/>
          <w:sz w:val="22"/>
          <w:szCs w:val="21"/>
          <w:lang w:eastAsia="zh-CN"/>
        </w:rPr>
        <w:t>虫鼠害防控服务拟重新遴选综合虫害管理（IPM）服务商。请贵司提前准备以下资料，用于本次服务方案提报及服务商遴选：</w:t>
      </w:r>
    </w:p>
    <w:p w14:paraId="21827381">
      <w:pPr>
        <w:numPr>
          <w:ilvl w:val="0"/>
          <w:numId w:val="7"/>
        </w:numPr>
        <w:spacing w:after="0" w:line="360" w:lineRule="auto"/>
        <w:jc w:val="both"/>
        <w:rPr>
          <w:rFonts w:hint="eastAsia" w:ascii="黑体" w:hAnsi="黑体" w:eastAsia="黑体"/>
          <w:b/>
          <w:color w:val="000000"/>
          <w:sz w:val="24"/>
          <w:szCs w:val="21"/>
          <w:lang w:eastAsia="zh-CN"/>
        </w:rPr>
      </w:pPr>
      <w:r>
        <w:rPr>
          <w:rFonts w:ascii="黑体" w:hAnsi="黑体" w:eastAsia="黑体"/>
          <w:b/>
          <w:color w:val="000000"/>
          <w:sz w:val="24"/>
          <w:szCs w:val="21"/>
          <w:lang w:eastAsia="zh-CN"/>
        </w:rPr>
        <w:t>机构基础信息</w:t>
      </w:r>
    </w:p>
    <w:p w14:paraId="2495CD05">
      <w:pPr>
        <w:spacing w:after="0" w:line="360" w:lineRule="auto"/>
        <w:ind w:firstLine="440" w:firstLineChars="200"/>
        <w:jc w:val="both"/>
        <w:rPr>
          <w:rFonts w:eastAsia="宋体"/>
          <w:sz w:val="21"/>
          <w:szCs w:val="21"/>
          <w:lang w:eastAsia="zh-CN"/>
        </w:rPr>
      </w:pPr>
      <w:r>
        <w:rPr>
          <w:rFonts w:ascii="宋体" w:hAnsi="宋体" w:eastAsia="宋体"/>
          <w:sz w:val="22"/>
          <w:szCs w:val="21"/>
          <w:lang w:eastAsia="zh-CN"/>
        </w:rPr>
        <w:t>提交公司整体简介、综合虫害管理（IPM）专项业务介绍、核心竞争优势、优势服务区域说明，并提供合作客户案例资料，具体要求如下：</w:t>
      </w:r>
    </w:p>
    <w:p w14:paraId="21E6F24A">
      <w:pPr>
        <w:spacing w:after="0" w:line="360" w:lineRule="auto"/>
        <w:jc w:val="both"/>
        <w:rPr>
          <w:rFonts w:eastAsia="宋体"/>
          <w:sz w:val="21"/>
          <w:szCs w:val="21"/>
          <w:lang w:eastAsia="zh-CN"/>
        </w:rPr>
      </w:pPr>
      <w:r>
        <w:rPr>
          <w:rFonts w:hint="eastAsia" w:eastAsia="宋体"/>
          <w:sz w:val="21"/>
          <w:szCs w:val="21"/>
          <w:lang w:eastAsia="zh-CN"/>
        </w:rPr>
        <w:t>1、</w:t>
      </w:r>
      <w:r>
        <w:rPr>
          <w:rFonts w:ascii="宋体" w:hAnsi="宋体" w:eastAsia="宋体"/>
          <w:sz w:val="22"/>
          <w:szCs w:val="21"/>
          <w:lang w:eastAsia="zh-CN"/>
        </w:rPr>
        <w:t>综合虫害管理业务介绍：虫鼠害防控（PCO）从业年限、完整业务体系、标准化服务流程、服务执行规范、项目运作模式，以及适配食品生产、食品仓储、连锁零售（便利店）行业的专项防治体系与服务能力。</w:t>
      </w:r>
    </w:p>
    <w:p w14:paraId="33E9C093">
      <w:pPr>
        <w:spacing w:after="0" w:line="360" w:lineRule="auto"/>
        <w:jc w:val="both"/>
        <w:rPr>
          <w:rFonts w:eastAsia="宋体"/>
          <w:sz w:val="21"/>
          <w:szCs w:val="21"/>
          <w:lang w:eastAsia="zh-CN"/>
        </w:rPr>
      </w:pPr>
      <w:r>
        <w:rPr>
          <w:rFonts w:hint="eastAsia" w:eastAsia="宋体"/>
          <w:sz w:val="21"/>
          <w:szCs w:val="21"/>
          <w:lang w:eastAsia="zh-CN"/>
        </w:rPr>
        <w:t>2、</w:t>
      </w:r>
      <w:r>
        <w:rPr>
          <w:rFonts w:ascii="宋体" w:hAnsi="宋体" w:eastAsia="宋体"/>
          <w:sz w:val="22"/>
          <w:szCs w:val="21"/>
          <w:lang w:eastAsia="zh-CN"/>
        </w:rPr>
        <w:t>核心竞争优势介绍：对比同类机构，阐述在防治专业性、技术团队配置、服务响应效率、问题整改闭环、风险管控能力、行业资源储备、合规体系建设等方面的差异化优势与核心竞争力。</w:t>
      </w:r>
    </w:p>
    <w:p w14:paraId="298D8A04">
      <w:pPr>
        <w:spacing w:after="0" w:line="360" w:lineRule="auto"/>
        <w:jc w:val="both"/>
        <w:rPr>
          <w:rFonts w:eastAsia="宋体"/>
          <w:sz w:val="21"/>
          <w:szCs w:val="21"/>
          <w:lang w:eastAsia="zh-CN"/>
        </w:rPr>
      </w:pPr>
      <w:r>
        <w:rPr>
          <w:rFonts w:hint="eastAsia" w:eastAsia="宋体"/>
          <w:sz w:val="21"/>
          <w:szCs w:val="21"/>
          <w:lang w:eastAsia="zh-CN"/>
        </w:rPr>
        <w:t>3、</w:t>
      </w:r>
      <w:r>
        <w:rPr>
          <w:rFonts w:ascii="宋体" w:hAnsi="宋体" w:eastAsia="宋体"/>
          <w:sz w:val="22"/>
          <w:szCs w:val="21"/>
          <w:lang w:eastAsia="zh-CN"/>
        </w:rPr>
        <w:t>合作客户/品牌案例清单：提供目前合作的品牌、食品生产、供应链仓储客户清单，重点展示食品、零售相关案例，附简要合作内容、服务周期、项目价值说明。</w:t>
      </w:r>
    </w:p>
    <w:p w14:paraId="35F4814A">
      <w:pPr>
        <w:spacing w:after="0" w:line="360" w:lineRule="auto"/>
        <w:jc w:val="both"/>
        <w:rPr>
          <w:rFonts w:hint="eastAsia" w:ascii="宋体" w:hAnsi="宋体" w:eastAsia="宋体"/>
          <w:sz w:val="22"/>
          <w:szCs w:val="21"/>
          <w:lang w:eastAsia="zh-CN"/>
        </w:rPr>
      </w:pPr>
      <w:r>
        <w:rPr>
          <w:rFonts w:hint="eastAsia" w:eastAsia="宋体"/>
          <w:sz w:val="21"/>
          <w:szCs w:val="21"/>
          <w:lang w:eastAsia="zh-CN"/>
        </w:rPr>
        <w:t>4、</w:t>
      </w:r>
      <w:r>
        <w:rPr>
          <w:rFonts w:ascii="宋体" w:hAnsi="宋体" w:eastAsia="宋体"/>
          <w:sz w:val="22"/>
          <w:szCs w:val="21"/>
          <w:lang w:eastAsia="zh-CN"/>
        </w:rPr>
        <w:t>资质说明：有害生物防制相关资质、认证及团队规模说明。</w:t>
      </w:r>
    </w:p>
    <w:p w14:paraId="0010B274">
      <w:pPr>
        <w:spacing w:after="0" w:line="360" w:lineRule="auto"/>
        <w:jc w:val="both"/>
        <w:rPr>
          <w:sz w:val="21"/>
          <w:szCs w:val="21"/>
          <w:lang w:eastAsia="zh-CN"/>
        </w:rPr>
      </w:pPr>
      <w:r>
        <w:rPr>
          <w:rFonts w:ascii="黑体" w:hAnsi="黑体" w:eastAsia="黑体"/>
          <w:b/>
          <w:color w:val="000000"/>
          <w:sz w:val="24"/>
          <w:szCs w:val="21"/>
          <w:lang w:eastAsia="zh-CN"/>
        </w:rPr>
        <w:t>二、服务团队资料（硬性要求）</w:t>
      </w:r>
    </w:p>
    <w:p w14:paraId="1B9AB2F5">
      <w:pPr>
        <w:spacing w:after="0" w:line="360" w:lineRule="auto"/>
        <w:ind w:firstLine="440" w:firstLineChars="200"/>
        <w:jc w:val="both"/>
        <w:rPr>
          <w:sz w:val="21"/>
          <w:szCs w:val="21"/>
          <w:lang w:eastAsia="zh-CN"/>
        </w:rPr>
      </w:pPr>
      <w:r>
        <w:rPr>
          <w:rFonts w:ascii="宋体" w:hAnsi="宋体" w:eastAsia="宋体"/>
          <w:sz w:val="22"/>
          <w:szCs w:val="21"/>
          <w:lang w:eastAsia="zh-CN"/>
        </w:rPr>
        <w:t>请提供完整服务团队清单及人员佐证资料，所有人员需满足以下硬性标准，不符合人员不予纳入合作储备团队：</w:t>
      </w:r>
    </w:p>
    <w:p w14:paraId="18D017EE">
      <w:pPr>
        <w:spacing w:after="0" w:line="360" w:lineRule="auto"/>
        <w:jc w:val="both"/>
        <w:rPr>
          <w:sz w:val="21"/>
          <w:szCs w:val="21"/>
          <w:lang w:eastAsia="zh-CN"/>
        </w:rPr>
      </w:pPr>
      <w:r>
        <w:rPr>
          <w:rFonts w:hint="eastAsia" w:ascii="宋体" w:hAnsi="宋体" w:eastAsia="宋体"/>
          <w:sz w:val="22"/>
          <w:szCs w:val="21"/>
          <w:lang w:eastAsia="zh-CN"/>
        </w:rPr>
        <w:t>1、</w:t>
      </w:r>
      <w:r>
        <w:rPr>
          <w:rFonts w:ascii="宋体" w:hAnsi="宋体" w:eastAsia="宋体"/>
          <w:sz w:val="22"/>
          <w:szCs w:val="21"/>
          <w:lang w:eastAsia="zh-CN"/>
        </w:rPr>
        <w:t>无廉政不良记录：所有服务人员未被列入任何行业廉政黑名单、无违规违纪、徇私舞弊、数据造假等不良从业记录</w:t>
      </w:r>
      <w:r>
        <w:rPr>
          <w:rFonts w:hint="eastAsia" w:ascii="宋体" w:hAnsi="宋体" w:eastAsia="宋体"/>
          <w:sz w:val="22"/>
          <w:szCs w:val="21"/>
          <w:lang w:eastAsia="zh-CN"/>
        </w:rPr>
        <w:t>。</w:t>
      </w:r>
    </w:p>
    <w:p w14:paraId="0232CC0C">
      <w:pPr>
        <w:spacing w:after="0" w:line="360" w:lineRule="auto"/>
        <w:jc w:val="both"/>
        <w:rPr>
          <w:sz w:val="21"/>
          <w:szCs w:val="21"/>
          <w:lang w:eastAsia="zh-CN"/>
        </w:rPr>
      </w:pPr>
      <w:r>
        <w:rPr>
          <w:rFonts w:hint="eastAsia" w:ascii="宋体" w:hAnsi="宋体" w:eastAsia="宋体"/>
          <w:sz w:val="22"/>
          <w:szCs w:val="21"/>
          <w:lang w:eastAsia="zh-CN"/>
        </w:rPr>
        <w:t>2、</w:t>
      </w:r>
      <w:r>
        <w:rPr>
          <w:rFonts w:ascii="宋体" w:hAnsi="宋体" w:eastAsia="宋体"/>
          <w:sz w:val="22"/>
          <w:szCs w:val="21"/>
          <w:lang w:eastAsia="zh-CN"/>
        </w:rPr>
        <w:t>具备5年及以上食品生产、食品仓储企业虫鼠害防控（PCO）服务经验，技术负责人及核心防制人员从业年限、资质数量及占比</w:t>
      </w:r>
      <w:r>
        <w:rPr>
          <w:rFonts w:hint="eastAsia" w:ascii="宋体" w:hAnsi="宋体" w:eastAsia="宋体"/>
          <w:sz w:val="22"/>
          <w:szCs w:val="21"/>
          <w:lang w:eastAsia="zh-CN"/>
        </w:rPr>
        <w:t>。</w:t>
      </w:r>
    </w:p>
    <w:p w14:paraId="71CA9FE1">
      <w:pPr>
        <w:spacing w:after="0" w:line="360" w:lineRule="auto"/>
        <w:jc w:val="both"/>
        <w:rPr>
          <w:sz w:val="21"/>
          <w:szCs w:val="21"/>
          <w:lang w:eastAsia="zh-CN"/>
        </w:rPr>
      </w:pPr>
      <w:r>
        <w:rPr>
          <w:rFonts w:hint="eastAsia" w:ascii="宋体" w:hAnsi="宋体" w:eastAsia="宋体"/>
          <w:sz w:val="22"/>
          <w:szCs w:val="21"/>
          <w:lang w:eastAsia="zh-CN"/>
        </w:rPr>
        <w:t>3、</w:t>
      </w:r>
      <w:r>
        <w:rPr>
          <w:rFonts w:ascii="宋体" w:hAnsi="宋体" w:eastAsia="宋体"/>
          <w:sz w:val="22"/>
          <w:szCs w:val="21"/>
          <w:lang w:eastAsia="zh-CN"/>
        </w:rPr>
        <w:t>专项人员配置：虫害防制员、技术主管等岗位配置及数量说明</w:t>
      </w:r>
      <w:r>
        <w:rPr>
          <w:rFonts w:hint="eastAsia" w:ascii="宋体" w:hAnsi="宋体" w:eastAsia="宋体"/>
          <w:sz w:val="22"/>
          <w:szCs w:val="21"/>
          <w:lang w:eastAsia="zh-CN"/>
        </w:rPr>
        <w:t>，且人员必须自有。</w:t>
      </w:r>
    </w:p>
    <w:p w14:paraId="05646B70">
      <w:pPr>
        <w:spacing w:after="0" w:line="360" w:lineRule="auto"/>
        <w:jc w:val="both"/>
        <w:rPr>
          <w:rFonts w:eastAsia="宋体"/>
          <w:sz w:val="21"/>
          <w:szCs w:val="21"/>
          <w:lang w:eastAsia="zh-CN"/>
        </w:rPr>
      </w:pPr>
      <w:r>
        <w:rPr>
          <w:rFonts w:hint="eastAsia" w:ascii="宋体" w:hAnsi="宋体" w:eastAsia="宋体"/>
          <w:sz w:val="22"/>
          <w:szCs w:val="21"/>
          <w:lang w:eastAsia="zh-CN"/>
        </w:rPr>
        <w:t>4、</w:t>
      </w:r>
      <w:r>
        <w:rPr>
          <w:rFonts w:ascii="宋体" w:hAnsi="宋体" w:eastAsia="宋体"/>
          <w:sz w:val="22"/>
          <w:szCs w:val="21"/>
          <w:lang w:eastAsia="zh-CN"/>
        </w:rPr>
        <w:t>人员资料要求：每位核心服务人员提供从业履历、资质证书、过往服务项目经验、擅长防治品类及模块。</w:t>
      </w:r>
    </w:p>
    <w:p w14:paraId="787A5311">
      <w:pPr>
        <w:spacing w:after="0" w:line="360" w:lineRule="auto"/>
        <w:jc w:val="both"/>
        <w:rPr>
          <w:sz w:val="21"/>
          <w:szCs w:val="21"/>
          <w:lang w:eastAsia="zh-CN"/>
        </w:rPr>
      </w:pPr>
      <w:r>
        <w:rPr>
          <w:rFonts w:ascii="黑体" w:hAnsi="黑体" w:eastAsia="黑体"/>
          <w:b/>
          <w:color w:val="000000"/>
          <w:sz w:val="24"/>
          <w:szCs w:val="21"/>
          <w:lang w:eastAsia="zh-CN"/>
        </w:rPr>
        <w:t>三、服务方案与技术要求</w:t>
      </w:r>
    </w:p>
    <w:p w14:paraId="07D1B9E7">
      <w:pPr>
        <w:spacing w:after="0" w:line="360" w:lineRule="auto"/>
        <w:ind w:firstLine="440" w:firstLineChars="200"/>
        <w:jc w:val="both"/>
        <w:rPr>
          <w:sz w:val="21"/>
          <w:szCs w:val="21"/>
          <w:lang w:eastAsia="zh-CN"/>
        </w:rPr>
      </w:pPr>
      <w:r>
        <w:rPr>
          <w:rFonts w:ascii="宋体" w:hAnsi="宋体" w:eastAsia="宋体"/>
          <w:sz w:val="22"/>
          <w:szCs w:val="21"/>
          <w:lang w:eastAsia="zh-CN"/>
        </w:rPr>
        <w:t>请提交系统化综合虫害管理（IPM）服务方案，明确技术路线与作业标准，具体要求如下：</w:t>
      </w:r>
    </w:p>
    <w:p w14:paraId="13D576D0">
      <w:pPr>
        <w:spacing w:after="0" w:line="360" w:lineRule="auto"/>
        <w:jc w:val="both"/>
        <w:rPr>
          <w:sz w:val="21"/>
          <w:szCs w:val="21"/>
          <w:lang w:eastAsia="zh-CN"/>
        </w:rPr>
      </w:pPr>
      <w:r>
        <w:rPr>
          <w:rFonts w:hint="eastAsia" w:ascii="宋体" w:hAnsi="宋体" w:eastAsia="宋体"/>
          <w:sz w:val="22"/>
          <w:szCs w:val="21"/>
          <w:lang w:eastAsia="zh-CN"/>
        </w:rPr>
        <w:t>1、</w:t>
      </w:r>
      <w:r>
        <w:rPr>
          <w:rFonts w:ascii="宋体" w:hAnsi="宋体" w:eastAsia="宋体"/>
          <w:sz w:val="22"/>
          <w:szCs w:val="21"/>
          <w:lang w:eastAsia="zh-CN"/>
        </w:rPr>
        <w:t>综合防治方案：遵循“监测—预防—治理—评估”闭环管理，而非单一器械布防</w:t>
      </w:r>
      <w:r>
        <w:rPr>
          <w:rFonts w:hint="eastAsia" w:ascii="宋体" w:hAnsi="宋体" w:eastAsia="宋体"/>
          <w:sz w:val="22"/>
          <w:szCs w:val="21"/>
          <w:lang w:eastAsia="zh-CN"/>
        </w:rPr>
        <w:t>。</w:t>
      </w:r>
    </w:p>
    <w:p w14:paraId="7F3BBD42">
      <w:pPr>
        <w:spacing w:after="0" w:line="360" w:lineRule="auto"/>
        <w:jc w:val="both"/>
        <w:rPr>
          <w:sz w:val="21"/>
          <w:szCs w:val="21"/>
          <w:lang w:eastAsia="zh-CN"/>
        </w:rPr>
      </w:pPr>
      <w:r>
        <w:rPr>
          <w:rFonts w:hint="eastAsia" w:ascii="宋体" w:hAnsi="宋体" w:eastAsia="宋体"/>
          <w:sz w:val="22"/>
          <w:szCs w:val="21"/>
          <w:lang w:eastAsia="zh-CN"/>
        </w:rPr>
        <w:t>2、</w:t>
      </w:r>
      <w:r>
        <w:rPr>
          <w:rFonts w:ascii="宋体" w:hAnsi="宋体" w:eastAsia="宋体"/>
          <w:sz w:val="22"/>
          <w:szCs w:val="21"/>
          <w:lang w:eastAsia="zh-CN"/>
        </w:rPr>
        <w:t>监测预警：监测点位布设方案（鼠饵站、粘鼠板、捕虫灯等）、巡检频次与记录管理、异常预警与处置机制，具备数字化监测能力（鼠情监测、预警记录）者优先</w:t>
      </w:r>
      <w:r>
        <w:rPr>
          <w:rFonts w:hint="eastAsia" w:ascii="宋体" w:hAnsi="宋体" w:eastAsia="宋体"/>
          <w:sz w:val="22"/>
          <w:szCs w:val="21"/>
          <w:lang w:eastAsia="zh-CN"/>
        </w:rPr>
        <w:t>。</w:t>
      </w:r>
    </w:p>
    <w:p w14:paraId="31D899EB">
      <w:pPr>
        <w:spacing w:after="0" w:line="360" w:lineRule="auto"/>
        <w:jc w:val="both"/>
        <w:rPr>
          <w:rFonts w:eastAsia="宋体"/>
          <w:sz w:val="21"/>
          <w:szCs w:val="21"/>
          <w:lang w:eastAsia="zh-CN"/>
        </w:rPr>
      </w:pPr>
      <w:r>
        <w:rPr>
          <w:rFonts w:hint="eastAsia" w:ascii="宋体" w:hAnsi="宋体" w:eastAsia="宋体"/>
          <w:sz w:val="22"/>
          <w:szCs w:val="21"/>
          <w:lang w:eastAsia="zh-CN"/>
        </w:rPr>
        <w:t>3、</w:t>
      </w:r>
      <w:r>
        <w:rPr>
          <w:rFonts w:ascii="宋体" w:hAnsi="宋体" w:eastAsia="宋体"/>
          <w:sz w:val="22"/>
          <w:szCs w:val="21"/>
          <w:lang w:eastAsia="zh-CN"/>
        </w:rPr>
        <w:t>预防控制：建筑与设施防护（挡鼠板、纱窗、孔洞封堵等）、环境卫生与商品离墙离地管理建议、进货与外来物管控</w:t>
      </w:r>
      <w:r>
        <w:rPr>
          <w:rFonts w:hint="eastAsia" w:ascii="宋体" w:hAnsi="宋体" w:eastAsia="宋体"/>
          <w:sz w:val="22"/>
          <w:szCs w:val="21"/>
          <w:lang w:eastAsia="zh-CN"/>
        </w:rPr>
        <w:t>。</w:t>
      </w:r>
    </w:p>
    <w:p w14:paraId="5D959979">
      <w:pPr>
        <w:spacing w:after="0" w:line="360" w:lineRule="auto"/>
        <w:jc w:val="both"/>
        <w:rPr>
          <w:rFonts w:eastAsia="宋体"/>
          <w:sz w:val="21"/>
          <w:szCs w:val="21"/>
          <w:lang w:eastAsia="zh-CN"/>
        </w:rPr>
      </w:pPr>
      <w:r>
        <w:rPr>
          <w:rFonts w:hint="eastAsia" w:eastAsia="宋体"/>
          <w:sz w:val="21"/>
          <w:szCs w:val="21"/>
          <w:lang w:eastAsia="zh-CN"/>
        </w:rPr>
        <w:t>4、</w:t>
      </w:r>
      <w:r>
        <w:rPr>
          <w:rFonts w:ascii="宋体" w:hAnsi="宋体" w:eastAsia="宋体"/>
          <w:sz w:val="22"/>
          <w:szCs w:val="21"/>
          <w:lang w:eastAsia="zh-CN"/>
        </w:rPr>
        <w:t>治理措施：分虫种防制方案（鼠类、飞虫、爬虫、仓储害虫、鸟类/野猫</w:t>
      </w:r>
      <w:r>
        <w:rPr>
          <w:rFonts w:hint="eastAsia" w:ascii="宋体" w:hAnsi="宋体" w:eastAsia="宋体"/>
          <w:sz w:val="22"/>
          <w:szCs w:val="21"/>
          <w:lang w:eastAsia="zh-CN"/>
        </w:rPr>
        <w:t>/蛇</w:t>
      </w:r>
      <w:r>
        <w:rPr>
          <w:rFonts w:ascii="宋体" w:hAnsi="宋体" w:eastAsia="宋体"/>
          <w:sz w:val="22"/>
          <w:szCs w:val="21"/>
          <w:lang w:eastAsia="zh-CN"/>
        </w:rPr>
        <w:t>等），鼠饵轮换使用防抗药性方案，化学防治合规性说明</w:t>
      </w:r>
      <w:r>
        <w:rPr>
          <w:rFonts w:hint="eastAsia" w:ascii="宋体" w:hAnsi="宋体" w:eastAsia="宋体"/>
          <w:sz w:val="22"/>
          <w:szCs w:val="21"/>
          <w:lang w:eastAsia="zh-CN"/>
        </w:rPr>
        <w:t>。</w:t>
      </w:r>
    </w:p>
    <w:p w14:paraId="4F2D8D46">
      <w:pPr>
        <w:spacing w:after="0" w:line="360" w:lineRule="auto"/>
        <w:jc w:val="both"/>
        <w:rPr>
          <w:rFonts w:hint="eastAsia" w:ascii="宋体" w:hAnsi="宋体" w:eastAsia="宋体"/>
          <w:sz w:val="22"/>
          <w:szCs w:val="21"/>
          <w:lang w:eastAsia="zh-CN"/>
        </w:rPr>
      </w:pPr>
      <w:r>
        <w:rPr>
          <w:rFonts w:hint="eastAsia" w:eastAsia="宋体"/>
          <w:sz w:val="21"/>
          <w:szCs w:val="21"/>
          <w:lang w:eastAsia="zh-CN"/>
        </w:rPr>
        <w:t>5、</w:t>
      </w:r>
      <w:r>
        <w:rPr>
          <w:rFonts w:ascii="宋体" w:hAnsi="宋体" w:eastAsia="宋体"/>
          <w:sz w:val="22"/>
          <w:szCs w:val="21"/>
          <w:lang w:eastAsia="zh-CN"/>
        </w:rPr>
        <w:t>设备配置：明确设备配置标准，按仓配备足量设备并留存备件，建立设备台账</w:t>
      </w:r>
      <w:r>
        <w:rPr>
          <w:rFonts w:hint="eastAsia" w:ascii="宋体" w:hAnsi="宋体" w:eastAsia="宋体"/>
          <w:sz w:val="22"/>
          <w:szCs w:val="21"/>
          <w:lang w:eastAsia="zh-CN"/>
        </w:rPr>
        <w:t>。</w:t>
      </w:r>
    </w:p>
    <w:p w14:paraId="219199DD">
      <w:pPr>
        <w:rPr>
          <w:rFonts w:hint="eastAsia" w:ascii="宋体" w:hAnsi="宋体" w:eastAsia="宋体"/>
          <w:sz w:val="22"/>
          <w:szCs w:val="21"/>
          <w:lang w:eastAsia="zh-CN"/>
        </w:rPr>
      </w:pPr>
      <w:r>
        <w:rPr>
          <w:rFonts w:hint="eastAsia" w:ascii="宋体" w:hAnsi="宋体" w:eastAsia="宋体"/>
          <w:sz w:val="22"/>
          <w:szCs w:val="21"/>
          <w:lang w:eastAsia="zh-CN"/>
        </w:rPr>
        <w:t>6、药剂要求：提供所有使用药剂清单及对应的化学品安全技术说明书（SDS）,食品仓储货品区域严禁使用挥发性、污染性药剂，规避食品污染风险。</w:t>
      </w:r>
    </w:p>
    <w:p w14:paraId="69C8682F">
      <w:pPr>
        <w:spacing w:after="0" w:line="360" w:lineRule="auto"/>
        <w:jc w:val="both"/>
        <w:rPr>
          <w:rFonts w:eastAsia="宋体"/>
          <w:sz w:val="21"/>
          <w:szCs w:val="21"/>
          <w:lang w:eastAsia="zh-CN"/>
        </w:rPr>
      </w:pPr>
      <w:r>
        <w:rPr>
          <w:rFonts w:hint="eastAsia" w:ascii="宋体" w:hAnsi="宋体" w:eastAsia="宋体"/>
          <w:sz w:val="22"/>
          <w:szCs w:val="21"/>
          <w:lang w:eastAsia="zh-CN"/>
        </w:rPr>
        <w:t>7、服务需</w:t>
      </w:r>
      <w:r>
        <w:rPr>
          <w:rFonts w:ascii="宋体" w:hAnsi="宋体" w:eastAsia="宋体"/>
          <w:sz w:val="22"/>
          <w:szCs w:val="21"/>
          <w:lang w:eastAsia="zh-CN"/>
        </w:rPr>
        <w:t>电子数据化：具有服务现场数字化（如服务报告-图文并茂、Portal趋势看板）</w:t>
      </w:r>
      <w:r>
        <w:rPr>
          <w:rFonts w:hint="eastAsia" w:ascii="宋体" w:hAnsi="宋体" w:eastAsia="宋体"/>
          <w:sz w:val="22"/>
          <w:szCs w:val="21"/>
          <w:lang w:eastAsia="zh-CN"/>
        </w:rPr>
        <w:t>。</w:t>
      </w:r>
    </w:p>
    <w:p w14:paraId="4851B60E">
      <w:pPr>
        <w:spacing w:after="0" w:line="360" w:lineRule="auto"/>
        <w:jc w:val="both"/>
        <w:rPr>
          <w:rFonts w:eastAsia="宋体"/>
          <w:sz w:val="21"/>
          <w:szCs w:val="21"/>
          <w:lang w:eastAsia="zh-CN"/>
        </w:rPr>
      </w:pPr>
      <w:r>
        <w:rPr>
          <w:rFonts w:hint="eastAsia" w:eastAsia="宋体"/>
          <w:sz w:val="21"/>
          <w:szCs w:val="21"/>
          <w:lang w:eastAsia="zh-CN"/>
        </w:rPr>
        <w:t>8、</w:t>
      </w:r>
      <w:r>
        <w:rPr>
          <w:rFonts w:ascii="宋体" w:hAnsi="宋体" w:eastAsia="宋体"/>
          <w:sz w:val="22"/>
          <w:szCs w:val="21"/>
          <w:lang w:eastAsia="zh-CN"/>
        </w:rPr>
        <w:t>效果考核：明确KPI指标（鼠害次数、货损金额下降率、捕获记录）并与服务费用挂钩，接受月度评估与飞行检查。</w:t>
      </w:r>
    </w:p>
    <w:p w14:paraId="01C20EE8">
      <w:pPr>
        <w:spacing w:after="0" w:line="360" w:lineRule="auto"/>
        <w:jc w:val="both"/>
        <w:rPr>
          <w:sz w:val="21"/>
          <w:szCs w:val="21"/>
          <w:lang w:eastAsia="zh-CN"/>
        </w:rPr>
      </w:pPr>
      <w:r>
        <w:rPr>
          <w:rFonts w:ascii="黑体" w:hAnsi="黑体" w:eastAsia="黑体"/>
          <w:b/>
          <w:color w:val="000000"/>
          <w:sz w:val="24"/>
          <w:szCs w:val="21"/>
          <w:lang w:eastAsia="zh-CN"/>
        </w:rPr>
        <w:t>四、服务时效（详细列明不同场景下的服务响应时效标准）</w:t>
      </w:r>
    </w:p>
    <w:p w14:paraId="0CC28944">
      <w:pPr>
        <w:spacing w:after="0" w:line="360" w:lineRule="auto"/>
        <w:jc w:val="both"/>
        <w:rPr>
          <w:rFonts w:eastAsia="宋体"/>
          <w:sz w:val="21"/>
          <w:szCs w:val="21"/>
          <w:lang w:eastAsia="zh-CN"/>
        </w:rPr>
      </w:pPr>
      <w:r>
        <w:rPr>
          <w:rFonts w:hint="eastAsia" w:ascii="宋体" w:hAnsi="宋体" w:eastAsia="宋体"/>
          <w:sz w:val="22"/>
          <w:szCs w:val="21"/>
          <w:lang w:eastAsia="zh-CN"/>
        </w:rPr>
        <w:t>1、</w:t>
      </w:r>
      <w:r>
        <w:rPr>
          <w:rFonts w:ascii="宋体" w:hAnsi="宋体" w:eastAsia="宋体"/>
          <w:sz w:val="22"/>
          <w:szCs w:val="21"/>
          <w:lang w:eastAsia="zh-CN"/>
        </w:rPr>
        <w:t>常规服务：明确各仓巡查周期（含鼠患高发仓/季节加密方案）、服务响应时长、应急处置到达时长</w:t>
      </w:r>
      <w:r>
        <w:rPr>
          <w:rFonts w:hint="eastAsia" w:ascii="宋体" w:hAnsi="宋体" w:eastAsia="宋体"/>
          <w:sz w:val="22"/>
          <w:szCs w:val="21"/>
          <w:lang w:eastAsia="zh-CN"/>
        </w:rPr>
        <w:t>。</w:t>
      </w:r>
    </w:p>
    <w:p w14:paraId="1E18A4EA">
      <w:pPr>
        <w:spacing w:after="0" w:line="360" w:lineRule="auto"/>
        <w:jc w:val="both"/>
        <w:rPr>
          <w:rFonts w:eastAsia="宋体"/>
          <w:sz w:val="21"/>
          <w:szCs w:val="21"/>
          <w:lang w:eastAsia="zh-CN"/>
        </w:rPr>
      </w:pPr>
      <w:r>
        <w:rPr>
          <w:rFonts w:hint="eastAsia" w:eastAsia="宋体"/>
          <w:sz w:val="21"/>
          <w:szCs w:val="21"/>
          <w:lang w:eastAsia="zh-CN"/>
        </w:rPr>
        <w:t>2、</w:t>
      </w:r>
      <w:r>
        <w:rPr>
          <w:rFonts w:ascii="宋体" w:hAnsi="宋体" w:eastAsia="宋体"/>
          <w:sz w:val="22"/>
          <w:szCs w:val="21"/>
          <w:lang w:eastAsia="zh-CN"/>
        </w:rPr>
        <w:t>紧急服务：鼠患、虫情突发时的专项加急响应机制、最快处置时间及保障方案。</w:t>
      </w:r>
    </w:p>
    <w:p w14:paraId="327B59C0">
      <w:pPr>
        <w:spacing w:after="0" w:line="360" w:lineRule="auto"/>
        <w:jc w:val="both"/>
        <w:rPr>
          <w:rFonts w:hint="eastAsia" w:ascii="黑体" w:hAnsi="黑体" w:eastAsia="黑体"/>
          <w:b/>
          <w:color w:val="000000"/>
          <w:sz w:val="24"/>
          <w:szCs w:val="21"/>
          <w:lang w:eastAsia="zh-CN"/>
        </w:rPr>
      </w:pPr>
      <w:r>
        <w:rPr>
          <w:rFonts w:ascii="黑体" w:hAnsi="黑体" w:eastAsia="黑体"/>
          <w:b/>
          <w:color w:val="000000"/>
          <w:sz w:val="24"/>
          <w:szCs w:val="21"/>
          <w:lang w:eastAsia="zh-CN"/>
        </w:rPr>
        <w:t>五、服务报价体系（全包一口价报价方案，无隐形费用）</w:t>
      </w:r>
    </w:p>
    <w:p w14:paraId="412EE08C">
      <w:pPr>
        <w:rPr>
          <w:rFonts w:hint="eastAsia" w:ascii="宋体" w:hAnsi="宋体" w:eastAsia="宋体"/>
          <w:b/>
          <w:bCs/>
          <w:sz w:val="22"/>
          <w:szCs w:val="21"/>
          <w:lang w:eastAsia="zh-CN"/>
        </w:rPr>
      </w:pPr>
      <w:r>
        <w:rPr>
          <w:rFonts w:hint="eastAsia" w:ascii="宋体" w:hAnsi="宋体" w:eastAsia="宋体"/>
          <w:b/>
          <w:bCs/>
          <w:sz w:val="22"/>
          <w:szCs w:val="21"/>
          <w:lang w:eastAsia="zh-CN"/>
        </w:rPr>
        <w:t>5.1、项目需求概括</w:t>
      </w:r>
    </w:p>
    <w:p w14:paraId="3E69291F">
      <w:pPr>
        <w:ind w:firstLine="440" w:firstLineChars="200"/>
        <w:rPr>
          <w:rFonts w:hint="eastAsia" w:ascii="宋体" w:hAnsi="宋体" w:eastAsia="宋体"/>
          <w:sz w:val="22"/>
          <w:szCs w:val="21"/>
          <w:lang w:eastAsia="zh-CN"/>
        </w:rPr>
      </w:pPr>
      <w:r>
        <w:rPr>
          <w:rFonts w:hint="eastAsia" w:ascii="宋体" w:hAnsi="宋体" w:eastAsia="宋体"/>
          <w:sz w:val="22"/>
          <w:szCs w:val="21"/>
          <w:lang w:eastAsia="zh-CN"/>
        </w:rPr>
        <w:t>需同时承接</w:t>
      </w:r>
      <w:r>
        <w:rPr>
          <w:rFonts w:ascii="宋体" w:hAnsi="宋体" w:eastAsia="宋体"/>
          <w:sz w:val="22"/>
          <w:szCs w:val="21"/>
          <w:lang w:eastAsia="zh-CN"/>
        </w:rPr>
        <w:t>仓储物流中心常温仓</w:t>
      </w:r>
      <w:r>
        <w:rPr>
          <w:rFonts w:hint="eastAsia" w:ascii="宋体" w:hAnsi="宋体" w:eastAsia="宋体"/>
          <w:sz w:val="22"/>
          <w:szCs w:val="21"/>
          <w:lang w:eastAsia="zh-CN"/>
        </w:rPr>
        <w:t>全范围有害生物防治管理工作，不得分包。</w:t>
      </w:r>
    </w:p>
    <w:p w14:paraId="635B6CB7">
      <w:pPr>
        <w:rPr>
          <w:rFonts w:hint="eastAsia" w:ascii="宋体" w:hAnsi="宋体" w:eastAsia="宋体"/>
          <w:b/>
          <w:bCs/>
          <w:sz w:val="22"/>
          <w:szCs w:val="21"/>
          <w:lang w:eastAsia="zh-CN"/>
        </w:rPr>
      </w:pPr>
      <w:r>
        <w:rPr>
          <w:rFonts w:hint="eastAsia" w:ascii="宋体" w:hAnsi="宋体" w:eastAsia="宋体"/>
          <w:b/>
          <w:bCs/>
          <w:sz w:val="22"/>
          <w:szCs w:val="21"/>
          <w:lang w:eastAsia="zh-CN"/>
        </w:rPr>
        <w:t>服务范围与关键区域</w:t>
      </w:r>
    </w:p>
    <w:p w14:paraId="45669C3F">
      <w:pPr>
        <w:rPr>
          <w:rFonts w:hint="eastAsia" w:ascii="宋体" w:hAnsi="宋体" w:eastAsia="宋体"/>
          <w:sz w:val="22"/>
          <w:szCs w:val="21"/>
          <w:lang w:eastAsia="zh-CN"/>
        </w:rPr>
      </w:pPr>
      <w:r>
        <w:rPr>
          <w:rFonts w:hint="eastAsia" w:ascii="宋体" w:hAnsi="宋体" w:eastAsia="宋体"/>
          <w:sz w:val="22"/>
          <w:szCs w:val="21"/>
          <w:lang w:eastAsia="zh-CN"/>
        </w:rPr>
        <w:t>5.1.</w:t>
      </w:r>
      <w:r>
        <w:rPr>
          <w:rFonts w:ascii="宋体" w:hAnsi="宋体" w:eastAsia="宋体"/>
          <w:sz w:val="22"/>
          <w:szCs w:val="21"/>
          <w:lang w:eastAsia="zh-CN"/>
        </w:rPr>
        <w:t>1</w:t>
      </w:r>
      <w:r>
        <w:rPr>
          <w:rFonts w:hint="eastAsia" w:ascii="宋体" w:hAnsi="宋体" w:eastAsia="宋体"/>
          <w:sz w:val="22"/>
          <w:szCs w:val="21"/>
          <w:lang w:eastAsia="zh-CN"/>
        </w:rPr>
        <w:t>、全覆盖：包括但不限于：常温仓库、办公区、垃圾房、卸货区、外围建筑内等。</w:t>
      </w:r>
    </w:p>
    <w:p w14:paraId="0C84E8B8">
      <w:pPr>
        <w:rPr>
          <w:rFonts w:hint="eastAsia" w:ascii="宋体" w:hAnsi="宋体" w:eastAsia="宋体"/>
          <w:sz w:val="22"/>
          <w:szCs w:val="21"/>
          <w:lang w:eastAsia="zh-CN"/>
        </w:rPr>
      </w:pPr>
      <w:r>
        <w:rPr>
          <w:rFonts w:hint="eastAsia" w:ascii="宋体" w:hAnsi="宋体" w:eastAsia="宋体"/>
          <w:sz w:val="22"/>
          <w:szCs w:val="21"/>
          <w:lang w:eastAsia="zh-CN"/>
        </w:rPr>
        <w:t>5.1.</w:t>
      </w:r>
      <w:r>
        <w:rPr>
          <w:rFonts w:ascii="宋体" w:hAnsi="宋体" w:eastAsia="宋体"/>
          <w:sz w:val="22"/>
          <w:szCs w:val="21"/>
          <w:lang w:eastAsia="zh-CN"/>
        </w:rPr>
        <w:t>2</w:t>
      </w:r>
      <w:r>
        <w:rPr>
          <w:rFonts w:hint="eastAsia" w:ascii="宋体" w:hAnsi="宋体" w:eastAsia="宋体"/>
          <w:sz w:val="22"/>
          <w:szCs w:val="21"/>
          <w:lang w:eastAsia="zh-CN"/>
        </w:rPr>
        <w:t>、消杀频次：每月至少1次（根据仓库虫害风险程度及季节变化可增加频次）。</w:t>
      </w:r>
    </w:p>
    <w:p w14:paraId="61E0876D">
      <w:pPr>
        <w:rPr>
          <w:rFonts w:hint="eastAsia" w:ascii="宋体" w:hAnsi="宋体" w:eastAsia="宋体"/>
          <w:sz w:val="22"/>
          <w:szCs w:val="21"/>
          <w:lang w:eastAsia="zh-CN"/>
        </w:rPr>
      </w:pPr>
      <w:r>
        <w:rPr>
          <w:rFonts w:hint="eastAsia" w:ascii="宋体" w:hAnsi="宋体" w:eastAsia="宋体"/>
          <w:sz w:val="22"/>
          <w:szCs w:val="21"/>
          <w:lang w:eastAsia="zh-CN"/>
        </w:rPr>
        <w:t>5.1.3、</w:t>
      </w:r>
      <w:r>
        <w:rPr>
          <w:rFonts w:ascii="宋体" w:hAnsi="宋体" w:eastAsia="宋体"/>
          <w:sz w:val="22"/>
          <w:szCs w:val="21"/>
          <w:lang w:eastAsia="zh-CN"/>
        </w:rPr>
        <w:t>紧急响应：提供 7x24小时紧急服务热线，接到我方虫害紧急报告后，需在2</w:t>
      </w:r>
      <w:r>
        <w:rPr>
          <w:rFonts w:hint="eastAsia" w:ascii="宋体" w:hAnsi="宋体" w:eastAsia="宋体"/>
          <w:sz w:val="22"/>
          <w:szCs w:val="21"/>
          <w:lang w:eastAsia="zh-CN"/>
        </w:rPr>
        <w:t>小时内响应和2</w:t>
      </w:r>
      <w:r>
        <w:rPr>
          <w:rFonts w:ascii="宋体" w:hAnsi="宋体" w:eastAsia="宋体"/>
          <w:sz w:val="22"/>
          <w:szCs w:val="21"/>
          <w:lang w:eastAsia="zh-CN"/>
        </w:rPr>
        <w:t>4小时到场处理。</w:t>
      </w:r>
    </w:p>
    <w:p w14:paraId="7DB83D5B">
      <w:pPr>
        <w:rPr>
          <w:rFonts w:hint="eastAsia" w:ascii="宋体" w:hAnsi="宋体" w:eastAsia="宋体"/>
          <w:sz w:val="22"/>
          <w:szCs w:val="21"/>
          <w:lang w:eastAsia="zh-CN"/>
        </w:rPr>
      </w:pPr>
      <w:bookmarkStart w:id="0" w:name="OLE_LINK1"/>
      <w:r>
        <w:rPr>
          <w:rFonts w:hint="eastAsia" w:ascii="宋体" w:hAnsi="宋体" w:eastAsia="宋体"/>
          <w:sz w:val="22"/>
          <w:szCs w:val="21"/>
          <w:lang w:eastAsia="zh-CN"/>
        </w:rPr>
        <w:t>5.1.</w:t>
      </w:r>
      <w:bookmarkEnd w:id="0"/>
      <w:r>
        <w:rPr>
          <w:rFonts w:hint="eastAsia" w:ascii="宋体" w:hAnsi="宋体" w:eastAsia="宋体"/>
          <w:sz w:val="22"/>
          <w:szCs w:val="21"/>
          <w:lang w:eastAsia="zh-CN"/>
        </w:rPr>
        <w:t>4、文档报告：</w:t>
      </w:r>
    </w:p>
    <w:p w14:paraId="2016C751">
      <w:pPr>
        <w:rPr>
          <w:rFonts w:hint="eastAsia" w:ascii="宋体" w:hAnsi="宋体" w:eastAsia="宋体"/>
          <w:sz w:val="22"/>
          <w:szCs w:val="21"/>
          <w:lang w:eastAsia="zh-CN"/>
        </w:rPr>
      </w:pPr>
      <w:bookmarkStart w:id="1" w:name="OLE_LINK2"/>
      <w:r>
        <w:rPr>
          <w:rFonts w:hint="eastAsia" w:ascii="宋体" w:hAnsi="宋体" w:eastAsia="宋体"/>
          <w:sz w:val="22"/>
          <w:szCs w:val="21"/>
          <w:lang w:eastAsia="zh-CN"/>
        </w:rPr>
        <w:t>5.1.</w:t>
      </w:r>
      <w:bookmarkEnd w:id="1"/>
      <w:r>
        <w:rPr>
          <w:rFonts w:ascii="宋体" w:hAnsi="宋体" w:eastAsia="宋体"/>
          <w:sz w:val="22"/>
          <w:szCs w:val="21"/>
          <w:lang w:eastAsia="zh-CN"/>
        </w:rPr>
        <w:t>4.1</w:t>
      </w:r>
      <w:r>
        <w:rPr>
          <w:rFonts w:hint="eastAsia" w:ascii="宋体" w:hAnsi="宋体" w:eastAsia="宋体"/>
          <w:sz w:val="22"/>
          <w:szCs w:val="21"/>
          <w:lang w:eastAsia="zh-CN"/>
        </w:rPr>
        <w:t>、每次服务后：提供电子版服务报告，内容包括服务日期、人员、发现的虫害活动、采取的措施、设施状态、建议等，并需我方负责人签字确认。</w:t>
      </w:r>
    </w:p>
    <w:p w14:paraId="24E940A0">
      <w:pPr>
        <w:rPr>
          <w:rFonts w:hint="eastAsia" w:ascii="宋体" w:hAnsi="宋体" w:eastAsia="宋体"/>
          <w:color w:val="FF0000"/>
          <w:sz w:val="22"/>
          <w:szCs w:val="21"/>
          <w:lang w:eastAsia="zh-CN"/>
        </w:rPr>
      </w:pPr>
      <w:r>
        <w:rPr>
          <w:rFonts w:hint="eastAsia" w:ascii="宋体" w:hAnsi="宋体" w:eastAsia="宋体"/>
          <w:sz w:val="22"/>
          <w:szCs w:val="21"/>
          <w:lang w:eastAsia="zh-CN"/>
        </w:rPr>
        <w:t>5.1.</w:t>
      </w:r>
      <w:r>
        <w:rPr>
          <w:rFonts w:ascii="宋体" w:hAnsi="宋体" w:eastAsia="宋体"/>
          <w:sz w:val="22"/>
          <w:szCs w:val="21"/>
          <w:lang w:eastAsia="zh-CN"/>
        </w:rPr>
        <w:t>4.2</w:t>
      </w:r>
      <w:r>
        <w:rPr>
          <w:rFonts w:hint="eastAsia" w:ascii="宋体" w:hAnsi="宋体" w:eastAsia="宋体"/>
          <w:sz w:val="22"/>
          <w:szCs w:val="21"/>
          <w:lang w:eastAsia="zh-CN"/>
        </w:rPr>
        <w:t>、月度/季度</w:t>
      </w:r>
      <w:r>
        <w:rPr>
          <w:rFonts w:ascii="宋体" w:hAnsi="宋体" w:eastAsia="宋体"/>
          <w:sz w:val="22"/>
          <w:szCs w:val="21"/>
          <w:lang w:eastAsia="zh-CN"/>
        </w:rPr>
        <w:t>/</w:t>
      </w:r>
      <w:r>
        <w:rPr>
          <w:rFonts w:hint="eastAsia" w:ascii="宋体" w:hAnsi="宋体" w:eastAsia="宋体"/>
          <w:sz w:val="22"/>
          <w:szCs w:val="21"/>
          <w:lang w:eastAsia="zh-CN"/>
        </w:rPr>
        <w:t>年度分析报告：提供基于数据的虫害趋势分析、风险评估及系统性改善建议。</w:t>
      </w:r>
    </w:p>
    <w:p w14:paraId="2360F791">
      <w:pPr>
        <w:rPr>
          <w:rFonts w:hint="eastAsia" w:ascii="宋体" w:hAnsi="宋体" w:eastAsia="宋体"/>
          <w:b/>
          <w:bCs/>
          <w:sz w:val="22"/>
          <w:szCs w:val="21"/>
          <w:lang w:eastAsia="zh-CN"/>
        </w:rPr>
      </w:pPr>
      <w:r>
        <w:rPr>
          <w:rFonts w:hint="eastAsia" w:ascii="宋体" w:hAnsi="宋体" w:eastAsia="宋体"/>
          <w:b/>
          <w:bCs/>
          <w:sz w:val="22"/>
          <w:szCs w:val="21"/>
          <w:lang w:eastAsia="zh-CN"/>
        </w:rPr>
        <w:t>5.2 报价基本要求</w:t>
      </w:r>
    </w:p>
    <w:p w14:paraId="5A064D6A">
      <w:pPr>
        <w:ind w:firstLine="440" w:firstLineChars="200"/>
        <w:rPr>
          <w:rFonts w:hint="eastAsia" w:ascii="宋体" w:hAnsi="宋体" w:eastAsia="宋体"/>
          <w:color w:val="FF0000"/>
          <w:sz w:val="22"/>
          <w:szCs w:val="21"/>
          <w:lang w:eastAsia="zh-CN"/>
        </w:rPr>
      </w:pPr>
      <w:r>
        <w:rPr>
          <w:rFonts w:hint="eastAsia" w:ascii="宋体" w:hAnsi="宋体" w:eastAsia="宋体"/>
          <w:sz w:val="22"/>
          <w:szCs w:val="21"/>
          <w:lang w:eastAsia="zh-CN"/>
        </w:rPr>
        <w:t>投标报价包含（但不限于）技术员工工资、药剂、车辆、设备设施、技术、管理、利润、税金（增值税专用发票）、优惠服务、增值服务等及政策性文件规定的各项费用及合同明示或暗示的所有一切风险、责任和义务的费用。</w:t>
      </w:r>
      <w:r>
        <w:rPr>
          <w:rFonts w:ascii="宋体" w:hAnsi="宋体" w:eastAsia="宋体"/>
          <w:sz w:val="22"/>
          <w:szCs w:val="21"/>
          <w:lang w:eastAsia="zh-CN"/>
        </w:rPr>
        <w:t>无任何隐形收费，按以下维度分类列明：</w:t>
      </w:r>
    </w:p>
    <w:p w14:paraId="3ED4D03F">
      <w:pPr>
        <w:spacing w:after="0" w:line="360" w:lineRule="auto"/>
        <w:jc w:val="both"/>
        <w:rPr>
          <w:sz w:val="21"/>
          <w:szCs w:val="21"/>
          <w:lang w:eastAsia="zh-CN"/>
        </w:rPr>
      </w:pPr>
      <w:r>
        <w:rPr>
          <w:rFonts w:hint="eastAsia" w:ascii="宋体" w:hAnsi="宋体" w:eastAsia="宋体"/>
          <w:sz w:val="22"/>
          <w:szCs w:val="21"/>
          <w:lang w:eastAsia="zh-CN"/>
        </w:rPr>
        <w:t>5.2.1、</w:t>
      </w:r>
      <w:r>
        <w:rPr>
          <w:rFonts w:ascii="宋体" w:hAnsi="宋体" w:eastAsia="宋体"/>
          <w:sz w:val="22"/>
          <w:szCs w:val="21"/>
          <w:lang w:eastAsia="zh-CN"/>
        </w:rPr>
        <w:t>全国仓网统一覆盖方案及报价</w:t>
      </w:r>
      <w:r>
        <w:rPr>
          <w:rFonts w:hint="eastAsia" w:ascii="宋体" w:hAnsi="宋体" w:eastAsia="宋体"/>
          <w:sz w:val="22"/>
          <w:szCs w:val="21"/>
          <w:lang w:eastAsia="zh-CN"/>
        </w:rPr>
        <w:t>。</w:t>
      </w:r>
    </w:p>
    <w:p w14:paraId="0545DA94">
      <w:pPr>
        <w:spacing w:after="0" w:line="360" w:lineRule="auto"/>
        <w:jc w:val="both"/>
        <w:rPr>
          <w:rFonts w:hint="eastAsia" w:ascii="宋体" w:hAnsi="宋体" w:eastAsia="宋体"/>
          <w:b/>
          <w:bCs/>
          <w:color w:val="FF0000"/>
          <w:sz w:val="22"/>
          <w:szCs w:val="21"/>
          <w:lang w:eastAsia="zh-CN"/>
        </w:rPr>
      </w:pPr>
      <w:r>
        <w:rPr>
          <w:rFonts w:hint="eastAsia" w:ascii="宋体" w:hAnsi="宋体" w:eastAsia="宋体"/>
          <w:sz w:val="22"/>
          <w:szCs w:val="21"/>
          <w:lang w:eastAsia="zh-CN"/>
        </w:rPr>
        <w:t>5.2.2、</w:t>
      </w:r>
      <w:r>
        <w:rPr>
          <w:rFonts w:ascii="宋体" w:hAnsi="宋体" w:eastAsia="宋体"/>
          <w:sz w:val="22"/>
          <w:szCs w:val="21"/>
          <w:lang w:eastAsia="zh-CN"/>
        </w:rPr>
        <w:t>按服务区域分类报价（国内常规区域、偏远区域等，并说明区域界定标准）</w:t>
      </w:r>
      <w:r>
        <w:rPr>
          <w:rFonts w:hint="eastAsia" w:ascii="宋体" w:hAnsi="宋体" w:eastAsia="宋体"/>
          <w:sz w:val="22"/>
          <w:szCs w:val="21"/>
          <w:lang w:eastAsia="zh-CN"/>
        </w:rPr>
        <w:t>。</w:t>
      </w:r>
    </w:p>
    <w:p w14:paraId="63DF2380">
      <w:pPr>
        <w:spacing w:after="0" w:line="360" w:lineRule="auto"/>
        <w:jc w:val="both"/>
        <w:rPr>
          <w:sz w:val="21"/>
          <w:szCs w:val="21"/>
          <w:lang w:eastAsia="zh-CN"/>
        </w:rPr>
      </w:pPr>
      <w:r>
        <w:rPr>
          <w:rFonts w:ascii="黑体" w:hAnsi="黑体" w:eastAsia="黑体"/>
          <w:b/>
          <w:color w:val="000000"/>
          <w:sz w:val="24"/>
          <w:szCs w:val="21"/>
          <w:lang w:eastAsia="zh-CN"/>
        </w:rPr>
        <w:t>六、廉洁管控</w:t>
      </w:r>
    </w:p>
    <w:p w14:paraId="0261C723">
      <w:pPr>
        <w:spacing w:after="0" w:line="360" w:lineRule="auto"/>
        <w:jc w:val="both"/>
        <w:rPr>
          <w:rFonts w:eastAsia="宋体"/>
          <w:sz w:val="21"/>
          <w:szCs w:val="21"/>
          <w:lang w:eastAsia="zh-CN"/>
        </w:rPr>
      </w:pPr>
      <w:r>
        <w:rPr>
          <w:rFonts w:hint="eastAsia" w:ascii="宋体" w:hAnsi="宋体" w:eastAsia="宋体"/>
          <w:sz w:val="22"/>
          <w:szCs w:val="21"/>
          <w:lang w:eastAsia="zh-CN"/>
        </w:rPr>
        <w:t>1、</w:t>
      </w:r>
      <w:r>
        <w:rPr>
          <w:rFonts w:ascii="宋体" w:hAnsi="宋体" w:eastAsia="宋体"/>
          <w:sz w:val="22"/>
          <w:szCs w:val="21"/>
          <w:lang w:eastAsia="zh-CN"/>
        </w:rPr>
        <w:t>介绍贵司企业廉政管理制度、服务人员行为规范、廉洁从业管控体系</w:t>
      </w:r>
      <w:r>
        <w:rPr>
          <w:rFonts w:hint="eastAsia" w:ascii="宋体" w:hAnsi="宋体" w:eastAsia="宋体"/>
          <w:sz w:val="22"/>
          <w:szCs w:val="21"/>
          <w:lang w:eastAsia="zh-CN"/>
        </w:rPr>
        <w:t>。</w:t>
      </w:r>
    </w:p>
    <w:p w14:paraId="7C2130D3">
      <w:pPr>
        <w:spacing w:after="0" w:line="360" w:lineRule="auto"/>
        <w:jc w:val="both"/>
        <w:rPr>
          <w:rFonts w:eastAsia="宋体"/>
          <w:sz w:val="21"/>
          <w:szCs w:val="21"/>
          <w:lang w:eastAsia="zh-CN"/>
        </w:rPr>
      </w:pPr>
      <w:r>
        <w:rPr>
          <w:rFonts w:hint="eastAsia" w:eastAsia="宋体"/>
          <w:sz w:val="21"/>
          <w:szCs w:val="21"/>
          <w:lang w:eastAsia="zh-CN"/>
        </w:rPr>
        <w:t>2、</w:t>
      </w:r>
      <w:r>
        <w:rPr>
          <w:rFonts w:ascii="宋体" w:hAnsi="宋体" w:eastAsia="宋体"/>
          <w:sz w:val="22"/>
          <w:szCs w:val="21"/>
          <w:lang w:eastAsia="zh-CN"/>
        </w:rPr>
        <w:t>明确针对服务人员吃拿卡要、徇私舞弊、服务不公、资料造假、企业信息泄露等违规行为的处罚机制、追责制度、赔付标准</w:t>
      </w:r>
      <w:r>
        <w:rPr>
          <w:rFonts w:hint="eastAsia" w:ascii="宋体" w:hAnsi="宋体" w:eastAsia="宋体"/>
          <w:sz w:val="22"/>
          <w:szCs w:val="21"/>
          <w:lang w:eastAsia="zh-CN"/>
        </w:rPr>
        <w:t>。</w:t>
      </w:r>
    </w:p>
    <w:p w14:paraId="205B07D1">
      <w:pPr>
        <w:spacing w:after="0" w:line="360" w:lineRule="auto"/>
        <w:jc w:val="both"/>
        <w:rPr>
          <w:rFonts w:eastAsia="宋体"/>
          <w:sz w:val="21"/>
          <w:szCs w:val="21"/>
          <w:lang w:eastAsia="zh-CN"/>
        </w:rPr>
      </w:pPr>
      <w:r>
        <w:rPr>
          <w:rFonts w:hint="eastAsia" w:eastAsia="宋体"/>
          <w:sz w:val="21"/>
          <w:szCs w:val="21"/>
          <w:lang w:eastAsia="zh-CN"/>
        </w:rPr>
        <w:t>3、</w:t>
      </w:r>
      <w:r>
        <w:rPr>
          <w:rFonts w:ascii="宋体" w:hAnsi="宋体" w:eastAsia="宋体"/>
          <w:sz w:val="22"/>
          <w:szCs w:val="21"/>
          <w:lang w:eastAsia="zh-CN"/>
        </w:rPr>
        <w:t>确认可签订专属廉政合作协议、违规追责协议，接受我司廉洁考核与约束。</w:t>
      </w:r>
    </w:p>
    <w:p w14:paraId="5F479C63">
      <w:pPr>
        <w:spacing w:after="0" w:line="360" w:lineRule="auto"/>
        <w:jc w:val="both"/>
        <w:rPr>
          <w:sz w:val="21"/>
          <w:szCs w:val="21"/>
          <w:lang w:eastAsia="zh-CN"/>
        </w:rPr>
      </w:pPr>
      <w:r>
        <w:rPr>
          <w:rFonts w:ascii="黑体" w:hAnsi="黑体" w:eastAsia="黑体"/>
          <w:b/>
          <w:color w:val="000000"/>
          <w:sz w:val="24"/>
          <w:szCs w:val="21"/>
          <w:lang w:eastAsia="zh-CN"/>
        </w:rPr>
        <w:t>七、其他</w:t>
      </w:r>
    </w:p>
    <w:p w14:paraId="59477C65">
      <w:pPr>
        <w:spacing w:after="0" w:line="360" w:lineRule="auto"/>
        <w:jc w:val="both"/>
        <w:rPr>
          <w:rFonts w:eastAsia="宋体"/>
          <w:sz w:val="21"/>
          <w:szCs w:val="21"/>
          <w:lang w:eastAsia="zh-CN"/>
        </w:rPr>
      </w:pPr>
      <w:r>
        <w:rPr>
          <w:rFonts w:hint="eastAsia" w:ascii="宋体" w:hAnsi="宋体" w:eastAsia="宋体"/>
          <w:sz w:val="22"/>
          <w:szCs w:val="21"/>
          <w:lang w:eastAsia="zh-CN"/>
        </w:rPr>
        <w:t>1、</w:t>
      </w:r>
      <w:r>
        <w:rPr>
          <w:rFonts w:ascii="宋体" w:hAnsi="宋体" w:eastAsia="宋体"/>
          <w:sz w:val="22"/>
          <w:szCs w:val="21"/>
          <w:lang w:eastAsia="zh-CN"/>
        </w:rPr>
        <w:t>本次提交的所有资质、人员、案例、报价、时效等资料必须真实、准确、有效，一经发现虚假、造假、隐瞒情况，直接取消候选及合作资格</w:t>
      </w:r>
      <w:r>
        <w:rPr>
          <w:rFonts w:hint="eastAsia" w:ascii="宋体" w:hAnsi="宋体" w:eastAsia="宋体"/>
          <w:sz w:val="22"/>
          <w:szCs w:val="21"/>
          <w:lang w:eastAsia="zh-CN"/>
        </w:rPr>
        <w:t>。</w:t>
      </w:r>
    </w:p>
    <w:p w14:paraId="267C2741">
      <w:pPr>
        <w:spacing w:after="0" w:line="360" w:lineRule="auto"/>
        <w:jc w:val="both"/>
        <w:rPr>
          <w:sz w:val="21"/>
          <w:szCs w:val="21"/>
          <w:lang w:eastAsia="zh-CN"/>
        </w:rPr>
      </w:pPr>
      <w:r>
        <w:rPr>
          <w:rFonts w:hint="eastAsia" w:eastAsia="宋体"/>
          <w:sz w:val="21"/>
          <w:szCs w:val="21"/>
          <w:lang w:eastAsia="zh-CN"/>
        </w:rPr>
        <w:t>2、</w:t>
      </w:r>
      <w:r>
        <w:rPr>
          <w:rFonts w:ascii="宋体" w:hAnsi="宋体" w:eastAsia="宋体"/>
          <w:sz w:val="22"/>
          <w:szCs w:val="21"/>
          <w:lang w:eastAsia="zh-CN"/>
        </w:rPr>
        <w:t>合作期间核心服务团队人员未经我司允许不得随意替换，人员更替需提前报备并重新核验资质</w:t>
      </w:r>
      <w:r>
        <w:rPr>
          <w:rFonts w:hint="eastAsia" w:ascii="宋体" w:hAnsi="宋体" w:eastAsia="宋体"/>
          <w:sz w:val="22"/>
          <w:szCs w:val="21"/>
          <w:lang w:eastAsia="zh-CN"/>
        </w:rPr>
        <w:t>。</w:t>
      </w:r>
    </w:p>
    <w:p w14:paraId="03FAA60F">
      <w:pPr>
        <w:spacing w:after="0" w:line="360" w:lineRule="auto"/>
        <w:jc w:val="both"/>
        <w:rPr>
          <w:rFonts w:hint="eastAsia" w:ascii="宋体" w:hAnsi="宋体" w:eastAsia="宋体"/>
          <w:sz w:val="22"/>
          <w:szCs w:val="21"/>
          <w:lang w:eastAsia="zh-CN"/>
        </w:rPr>
      </w:pPr>
      <w:r>
        <w:rPr>
          <w:rFonts w:hint="eastAsia" w:ascii="宋体" w:hAnsi="宋体" w:eastAsia="宋体"/>
          <w:sz w:val="22"/>
          <w:szCs w:val="21"/>
          <w:lang w:eastAsia="zh-CN"/>
        </w:rPr>
        <w:t>3、</w:t>
      </w:r>
      <w:r>
        <w:rPr>
          <w:rFonts w:ascii="宋体" w:hAnsi="宋体" w:eastAsia="宋体"/>
          <w:sz w:val="22"/>
          <w:szCs w:val="21"/>
          <w:lang w:eastAsia="zh-CN"/>
        </w:rPr>
        <w:t>所有服务需严格遵守国家法规及我司质量管理、廉洁管理相关要求。</w:t>
      </w:r>
    </w:p>
    <w:p w14:paraId="66782ABF">
      <w:pPr>
        <w:pStyle w:val="4"/>
        <w:keepNext w:val="0"/>
        <w:keepLines w:val="0"/>
        <w:widowControl/>
        <w:suppressLineNumbers w:val="0"/>
        <w:rPr>
          <w:rFonts w:ascii="黑体" w:hAnsi="黑体" w:eastAsia="黑体" w:cstheme="minorBidi"/>
          <w:b/>
          <w:bCs w:val="0"/>
          <w:color w:val="000000"/>
          <w:sz w:val="24"/>
          <w:szCs w:val="21"/>
          <w:lang w:val="en-US" w:eastAsia="zh-CN" w:bidi="ar-SA"/>
        </w:rPr>
      </w:pPr>
      <w:r>
        <w:rPr>
          <w:rFonts w:ascii="黑体" w:hAnsi="黑体" w:eastAsia="黑体" w:cstheme="minorBidi"/>
          <w:b/>
          <w:bCs w:val="0"/>
          <w:color w:val="000000"/>
          <w:sz w:val="24"/>
          <w:szCs w:val="21"/>
          <w:lang w:val="en-US" w:eastAsia="zh-CN" w:bidi="ar-SA"/>
        </w:rPr>
        <w:t>联系方式</w:t>
      </w:r>
    </w:p>
    <w:p w14:paraId="61776BE9">
      <w:pPr>
        <w:spacing w:after="0" w:line="360" w:lineRule="auto"/>
        <w:jc w:val="both"/>
        <w:rPr>
          <w:rFonts w:hint="eastAsia" w:eastAsia="宋体"/>
          <w:sz w:val="21"/>
          <w:szCs w:val="21"/>
          <w:lang w:val="en-US" w:eastAsia="zh-CN"/>
        </w:rPr>
      </w:pPr>
      <w:r>
        <w:rPr>
          <w:rFonts w:hint="eastAsia" w:eastAsia="宋体"/>
          <w:sz w:val="21"/>
          <w:szCs w:val="21"/>
          <w:lang w:val="en-US" w:eastAsia="zh-CN"/>
        </w:rPr>
        <w:t xml:space="preserve">项目对接人:田升瑞 </w:t>
      </w:r>
    </w:p>
    <w:p w14:paraId="0B4AE78D">
      <w:pPr>
        <w:spacing w:after="0" w:line="360" w:lineRule="auto"/>
        <w:jc w:val="both"/>
        <w:rPr>
          <w:rFonts w:hint="eastAsia" w:eastAsia="宋体"/>
          <w:sz w:val="21"/>
          <w:szCs w:val="21"/>
          <w:lang w:val="en-US" w:eastAsia="zh-CN"/>
        </w:rPr>
      </w:pPr>
      <w:r>
        <w:rPr>
          <w:rFonts w:hint="eastAsia" w:eastAsia="宋体"/>
          <w:sz w:val="21"/>
          <w:szCs w:val="21"/>
          <w:lang w:val="en-US" w:eastAsia="zh-CN"/>
        </w:rPr>
        <w:t xml:space="preserve">联系电话:13438886874 </w:t>
      </w:r>
    </w:p>
    <w:p w14:paraId="20FDDF46">
      <w:pPr>
        <w:spacing w:after="0" w:line="360" w:lineRule="auto"/>
        <w:jc w:val="both"/>
        <w:rPr>
          <w:rFonts w:hint="eastAsia" w:eastAsia="宋体"/>
          <w:sz w:val="21"/>
          <w:szCs w:val="21"/>
          <w:lang w:val="en-US" w:eastAsia="zh-CN"/>
        </w:rPr>
      </w:pPr>
      <w:r>
        <w:rPr>
          <w:rFonts w:hint="eastAsia" w:eastAsia="宋体"/>
          <w:sz w:val="21"/>
          <w:szCs w:val="21"/>
          <w:lang w:val="en-US" w:eastAsia="zh-CN"/>
        </w:rPr>
        <w:t>电子邮箱(方案资料接收邮箱):</w:t>
      </w:r>
      <w:r>
        <w:rPr>
          <w:rFonts w:hint="eastAsia" w:eastAsia="宋体"/>
          <w:sz w:val="21"/>
          <w:szCs w:val="21"/>
          <w:lang w:val="en-US" w:eastAsia="zh-CN"/>
        </w:rPr>
        <w:fldChar w:fldCharType="begin"/>
      </w:r>
      <w:r>
        <w:rPr>
          <w:rFonts w:hint="eastAsia" w:eastAsia="宋体"/>
          <w:sz w:val="21"/>
          <w:szCs w:val="21"/>
          <w:lang w:val="en-US" w:eastAsia="zh-CN"/>
        </w:rPr>
        <w:instrText xml:space="preserve"> HYPERLINK "mailto:zhaotoubiao@cdlsym.com" \t "_blank" </w:instrText>
      </w:r>
      <w:r>
        <w:rPr>
          <w:rFonts w:hint="eastAsia" w:eastAsia="宋体"/>
          <w:sz w:val="21"/>
          <w:szCs w:val="21"/>
          <w:lang w:val="en-US" w:eastAsia="zh-CN"/>
        </w:rPr>
        <w:fldChar w:fldCharType="separate"/>
      </w:r>
      <w:r>
        <w:rPr>
          <w:rFonts w:hint="eastAsia" w:eastAsia="宋体"/>
          <w:sz w:val="21"/>
          <w:szCs w:val="21"/>
          <w:lang w:eastAsia="zh-CN"/>
        </w:rPr>
        <w:t>zhaotoubiao@cdlsym.com</w:t>
      </w:r>
      <w:r>
        <w:rPr>
          <w:rFonts w:hint="eastAsia" w:eastAsia="宋体"/>
          <w:sz w:val="21"/>
          <w:szCs w:val="21"/>
          <w:lang w:val="en-US" w:eastAsia="zh-CN"/>
        </w:rPr>
        <w:fldChar w:fldCharType="end"/>
      </w:r>
      <w:r>
        <w:rPr>
          <w:rFonts w:hint="eastAsia" w:eastAsia="宋体"/>
          <w:sz w:val="21"/>
          <w:szCs w:val="21"/>
          <w:lang w:val="en-US" w:eastAsia="zh-CN"/>
        </w:rPr>
        <w:t xml:space="preserve"> </w:t>
      </w:r>
    </w:p>
    <w:p w14:paraId="2F1B7514">
      <w:pPr>
        <w:spacing w:after="0" w:line="360" w:lineRule="auto"/>
        <w:jc w:val="both"/>
        <w:rPr>
          <w:rFonts w:hint="eastAsia" w:eastAsia="宋体"/>
          <w:sz w:val="21"/>
          <w:szCs w:val="21"/>
          <w:lang w:eastAsia="zh-CN"/>
        </w:rPr>
      </w:pPr>
      <w:r>
        <w:rPr>
          <w:rFonts w:hint="eastAsia" w:eastAsia="宋体"/>
          <w:sz w:val="21"/>
          <w:szCs w:val="21"/>
          <w:lang w:val="en-US" w:eastAsia="zh-CN"/>
        </w:rPr>
        <w:t>地址:四川省成都市锦江区东大路577号1栋31层</w:t>
      </w:r>
    </w:p>
    <w:p w14:paraId="70ED9F2D">
      <w:pPr>
        <w:spacing w:after="0" w:line="360" w:lineRule="auto"/>
        <w:jc w:val="both"/>
        <w:rPr>
          <w:rFonts w:hint="eastAsia" w:ascii="宋体" w:hAnsi="宋体" w:eastAsia="宋体"/>
          <w:sz w:val="22"/>
          <w:szCs w:val="21"/>
          <w:lang w:eastAsia="zh-CN"/>
        </w:rPr>
      </w:pPr>
    </w:p>
    <w:p w14:paraId="2D941964">
      <w:pPr>
        <w:spacing w:after="0" w:line="360" w:lineRule="auto"/>
        <w:rPr>
          <w:sz w:val="21"/>
          <w:szCs w:val="21"/>
          <w:lang w:eastAsia="zh-CN"/>
        </w:rPr>
      </w:pPr>
      <w:r>
        <w:rPr>
          <w:rFonts w:ascii="宋体" w:hAnsi="宋体" w:eastAsia="宋体"/>
          <w:sz w:val="22"/>
          <w:szCs w:val="21"/>
          <w:lang w:eastAsia="zh-CN"/>
        </w:rPr>
        <w:t>特此告知！</w:t>
      </w:r>
    </w:p>
    <w:p w14:paraId="259EEB05">
      <w:pPr>
        <w:spacing w:after="0" w:line="360" w:lineRule="auto"/>
        <w:jc w:val="right"/>
        <w:rPr>
          <w:sz w:val="21"/>
          <w:szCs w:val="21"/>
          <w:lang w:eastAsia="zh-CN"/>
        </w:rPr>
      </w:pPr>
      <w:r>
        <w:rPr>
          <w:rFonts w:hint="eastAsia" w:ascii="宋体" w:hAnsi="宋体" w:eastAsia="宋体"/>
          <w:sz w:val="22"/>
          <w:szCs w:val="21"/>
          <w:lang w:eastAsia="zh-CN"/>
        </w:rPr>
        <w:t>四川蓉志楚远供应链管理有限公司</w:t>
      </w:r>
    </w:p>
    <w:p w14:paraId="5CAAE28D">
      <w:pPr>
        <w:spacing w:after="0" w:line="360" w:lineRule="auto"/>
        <w:jc w:val="right"/>
        <w:rPr>
          <w:rFonts w:eastAsia="宋体"/>
          <w:sz w:val="21"/>
          <w:szCs w:val="21"/>
          <w:lang w:eastAsia="zh-CN"/>
        </w:rPr>
      </w:pPr>
      <w:r>
        <w:rPr>
          <w:rFonts w:ascii="宋体" w:hAnsi="宋体" w:eastAsia="宋体"/>
          <w:sz w:val="22"/>
          <w:szCs w:val="21"/>
          <w:lang w:eastAsia="zh-CN"/>
        </w:rPr>
        <w:t>2026年10月2</w:t>
      </w:r>
      <w:r>
        <w:rPr>
          <w:rFonts w:hint="eastAsia" w:ascii="宋体" w:hAnsi="宋体" w:eastAsia="宋体"/>
          <w:sz w:val="22"/>
          <w:szCs w:val="21"/>
          <w:lang w:eastAsia="zh-CN"/>
        </w:rPr>
        <w:t>6</w:t>
      </w:r>
      <w:r>
        <w:rPr>
          <w:rFonts w:ascii="宋体" w:hAnsi="宋体" w:eastAsia="宋体"/>
          <w:sz w:val="22"/>
          <w:szCs w:val="21"/>
          <w:lang w:eastAsia="zh-CN"/>
        </w:rPr>
        <w:t>日</w:t>
      </w:r>
    </w:p>
    <w:p w14:paraId="22C21CDB">
      <w:pPr>
        <w:spacing w:after="0" w:line="360" w:lineRule="auto"/>
        <w:jc w:val="both"/>
        <w:rPr>
          <w:rFonts w:eastAsia="宋体"/>
          <w:sz w:val="21"/>
          <w:szCs w:val="21"/>
          <w:lang w:eastAsia="zh-CN"/>
        </w:rPr>
      </w:pPr>
    </w:p>
    <w:p w14:paraId="0BD9CB0A">
      <w:pPr>
        <w:spacing w:after="0" w:line="360" w:lineRule="auto"/>
        <w:rPr>
          <w:sz w:val="21"/>
          <w:szCs w:val="21"/>
          <w:lang w:eastAsia="zh-CN"/>
        </w:rPr>
      </w:pPr>
      <w:r>
        <w:rPr>
          <w:rFonts w:ascii="黑体" w:hAnsi="黑体" w:eastAsia="黑体"/>
          <w:b/>
          <w:color w:val="000000"/>
          <w:sz w:val="24"/>
          <w:szCs w:val="21"/>
          <w:lang w:eastAsia="zh-CN"/>
        </w:rPr>
        <w:t>方案提报/面谈安排</w:t>
      </w:r>
    </w:p>
    <w:p w14:paraId="3D4EEB11">
      <w:pPr>
        <w:spacing w:after="0" w:line="360" w:lineRule="auto"/>
        <w:jc w:val="both"/>
        <w:rPr>
          <w:sz w:val="21"/>
          <w:szCs w:val="21"/>
          <w:lang w:eastAsia="zh-CN"/>
        </w:rPr>
      </w:pPr>
      <w:r>
        <w:rPr>
          <w:rFonts w:ascii="宋体" w:hAnsi="宋体" w:eastAsia="宋体"/>
          <w:sz w:val="22"/>
          <w:szCs w:val="21"/>
          <w:lang w:eastAsia="zh-CN"/>
        </w:rPr>
        <w:t>方案提报</w:t>
      </w:r>
      <w:r>
        <w:rPr>
          <w:rFonts w:hint="eastAsia" w:ascii="宋体" w:hAnsi="宋体" w:eastAsia="宋体"/>
          <w:sz w:val="22"/>
          <w:szCs w:val="21"/>
          <w:lang w:eastAsia="zh-CN"/>
        </w:rPr>
        <w:t>截止</w:t>
      </w:r>
      <w:r>
        <w:rPr>
          <w:rFonts w:ascii="宋体" w:hAnsi="宋体" w:eastAsia="宋体"/>
          <w:sz w:val="22"/>
          <w:szCs w:val="21"/>
          <w:lang w:eastAsia="zh-CN"/>
        </w:rPr>
        <w:t>时间：</w:t>
      </w:r>
      <w:r>
        <w:rPr>
          <w:rFonts w:hint="eastAsia" w:ascii="宋体" w:hAnsi="宋体" w:eastAsia="宋体"/>
          <w:sz w:val="22"/>
          <w:szCs w:val="21"/>
          <w:lang w:eastAsia="zh-CN"/>
        </w:rPr>
        <w:t>2026</w:t>
      </w:r>
      <w:r>
        <w:rPr>
          <w:rFonts w:ascii="宋体" w:hAnsi="宋体" w:eastAsia="宋体"/>
          <w:sz w:val="22"/>
          <w:szCs w:val="21"/>
          <w:lang w:eastAsia="zh-CN"/>
        </w:rPr>
        <w:t>年</w:t>
      </w:r>
      <w:r>
        <w:rPr>
          <w:rFonts w:hint="eastAsia" w:ascii="宋体" w:hAnsi="宋体" w:eastAsia="宋体"/>
          <w:sz w:val="22"/>
          <w:szCs w:val="21"/>
          <w:lang w:eastAsia="zh-CN"/>
        </w:rPr>
        <w:t>10</w:t>
      </w:r>
      <w:r>
        <w:rPr>
          <w:rFonts w:ascii="宋体" w:hAnsi="宋体" w:eastAsia="宋体"/>
          <w:sz w:val="22"/>
          <w:szCs w:val="21"/>
          <w:lang w:eastAsia="zh-CN"/>
        </w:rPr>
        <w:t>月</w:t>
      </w:r>
      <w:r>
        <w:rPr>
          <w:rFonts w:hint="eastAsia" w:ascii="宋体" w:hAnsi="宋体" w:eastAsia="宋体"/>
          <w:sz w:val="22"/>
          <w:szCs w:val="21"/>
          <w:lang w:eastAsia="zh-CN"/>
        </w:rPr>
        <w:t>31</w:t>
      </w:r>
      <w:r>
        <w:rPr>
          <w:rFonts w:ascii="宋体" w:hAnsi="宋体" w:eastAsia="宋体"/>
          <w:sz w:val="22"/>
          <w:szCs w:val="21"/>
          <w:lang w:eastAsia="zh-CN"/>
        </w:rPr>
        <w:t>日</w:t>
      </w:r>
    </w:p>
    <w:p w14:paraId="179CBA01">
      <w:pPr>
        <w:spacing w:after="0" w:line="360" w:lineRule="auto"/>
        <w:jc w:val="both"/>
        <w:rPr>
          <w:rFonts w:hint="eastAsia" w:ascii="宋体" w:hAnsi="宋体" w:eastAsia="宋体"/>
          <w:b/>
          <w:bCs/>
          <w:color w:val="FF0000"/>
          <w:sz w:val="22"/>
          <w:szCs w:val="21"/>
          <w:lang w:eastAsia="zh-CN"/>
        </w:rPr>
      </w:pPr>
      <w:r>
        <w:rPr>
          <w:rFonts w:hint="eastAsia" w:ascii="宋体" w:hAnsi="宋体" w:eastAsia="宋体"/>
          <w:sz w:val="22"/>
          <w:szCs w:val="21"/>
          <w:lang w:eastAsia="zh-CN"/>
        </w:rPr>
        <w:t>面谈安排</w:t>
      </w:r>
      <w:r>
        <w:rPr>
          <w:rFonts w:ascii="宋体" w:hAnsi="宋体" w:eastAsia="宋体"/>
          <w:sz w:val="22"/>
          <w:szCs w:val="21"/>
          <w:lang w:eastAsia="zh-CN"/>
        </w:rPr>
        <w:t>：现场</w:t>
      </w:r>
      <w:r>
        <w:rPr>
          <w:rFonts w:hint="eastAsia" w:ascii="宋体" w:hAnsi="宋体" w:eastAsia="宋体"/>
          <w:sz w:val="22"/>
          <w:szCs w:val="21"/>
          <w:lang w:eastAsia="zh-CN"/>
        </w:rPr>
        <w:t>面谈，具体时间及地址以通知为准</w:t>
      </w:r>
    </w:p>
    <w:p w14:paraId="72986F22">
      <w:pPr>
        <w:rPr>
          <w:rFonts w:hint="eastAsia" w:ascii="宋体" w:hAnsi="宋体" w:eastAsia="宋体"/>
          <w:b/>
          <w:bCs/>
          <w:sz w:val="24"/>
          <w:lang w:eastAsia="zh-CN"/>
        </w:rPr>
      </w:pPr>
    </w:p>
    <w:p w14:paraId="5CEC6316">
      <w:pPr>
        <w:rPr>
          <w:rFonts w:hint="eastAsia" w:ascii="宋体" w:hAnsi="宋体" w:eastAsia="宋体"/>
          <w:b/>
          <w:bCs/>
          <w:sz w:val="24"/>
          <w:lang w:val="en-US" w:eastAsia="zh-CN"/>
        </w:rPr>
      </w:pPr>
      <w:r>
        <w:rPr>
          <w:rFonts w:hint="eastAsia" w:ascii="宋体" w:hAnsi="宋体" w:eastAsia="宋体"/>
          <w:b/>
          <w:bCs/>
          <w:sz w:val="24"/>
          <w:lang w:val="en-US" w:eastAsia="zh-CN"/>
        </w:rPr>
        <w:t>需提交资料</w:t>
      </w:r>
    </w:p>
    <w:p w14:paraId="0605E033">
      <w:pPr>
        <w:rPr>
          <w:rFonts w:hint="eastAsia" w:ascii="宋体" w:hAnsi="宋体" w:eastAsia="宋体"/>
          <w:b/>
          <w:bCs/>
          <w:sz w:val="24"/>
          <w:lang w:val="en-US" w:eastAsia="zh-CN"/>
        </w:rPr>
      </w:pPr>
      <w:r>
        <w:rPr>
          <w:rFonts w:hint="eastAsia" w:ascii="宋体" w:hAnsi="宋体" w:eastAsia="宋体"/>
          <w:b/>
          <w:bCs/>
          <w:sz w:val="24"/>
          <w:lang w:val="en-US" w:eastAsia="zh-CN"/>
        </w:rPr>
        <w:t>附件一：供应商信息表</w:t>
      </w:r>
    </w:p>
    <w:p w14:paraId="6FA54904">
      <w:pPr>
        <w:rPr>
          <w:rFonts w:hint="eastAsia" w:ascii="宋体" w:hAnsi="宋体" w:eastAsia="宋体"/>
          <w:b/>
          <w:bCs/>
          <w:sz w:val="24"/>
          <w:lang w:eastAsia="zh-CN"/>
        </w:rPr>
      </w:pPr>
      <w:r>
        <w:rPr>
          <w:rFonts w:hint="eastAsia" w:ascii="宋体" w:hAnsi="宋体" w:eastAsia="宋体"/>
          <w:b/>
          <w:bCs/>
          <w:sz w:val="24"/>
          <w:lang w:val="en-US" w:eastAsia="zh-CN"/>
        </w:rPr>
        <w:t>附件二：服务方案及报价</w:t>
      </w:r>
      <w:bookmarkStart w:id="2" w:name="_GoBack"/>
      <w:bookmarkEnd w:id="2"/>
    </w:p>
    <w:p w14:paraId="11790580">
      <w:pPr>
        <w:rPr>
          <w:rFonts w:hint="eastAsia" w:ascii="宋体" w:hAnsi="宋体" w:eastAsia="宋体"/>
          <w:b/>
          <w:bCs/>
          <w:sz w:val="24"/>
          <w:lang w:val="en-US" w:eastAsia="zh-CN"/>
        </w:rPr>
      </w:pPr>
      <w:r>
        <w:rPr>
          <w:rFonts w:hint="eastAsia" w:ascii="宋体" w:hAnsi="宋体" w:eastAsia="宋体"/>
          <w:b/>
          <w:bCs/>
          <w:sz w:val="24"/>
          <w:lang w:val="en-US" w:eastAsia="zh-CN"/>
        </w:rPr>
        <w:br w:type="page"/>
      </w:r>
    </w:p>
    <w:p w14:paraId="73A22705">
      <w:pPr>
        <w:rPr>
          <w:rFonts w:hint="eastAsia" w:ascii="宋体" w:hAnsi="宋体" w:eastAsia="宋体"/>
          <w:b/>
          <w:bCs/>
          <w:sz w:val="24"/>
          <w:lang w:eastAsia="zh-CN"/>
        </w:rPr>
      </w:pPr>
      <w:r>
        <w:rPr>
          <w:rFonts w:hint="eastAsia" w:ascii="宋体" w:hAnsi="宋体" w:eastAsia="宋体"/>
          <w:b/>
          <w:bCs/>
          <w:sz w:val="24"/>
          <w:lang w:val="en-US" w:eastAsia="zh-CN"/>
        </w:rPr>
        <w:t>参考服务仓库地址</w:t>
      </w:r>
      <w:r>
        <w:rPr>
          <w:rFonts w:hint="eastAsia" w:ascii="宋体" w:hAnsi="宋体" w:eastAsia="宋体"/>
          <w:b/>
          <w:bCs/>
          <w:sz w:val="24"/>
          <w:lang w:eastAsia="zh-CN"/>
        </w:rPr>
        <w:t>：</w:t>
      </w:r>
    </w:p>
    <w:tbl>
      <w:tblPr>
        <w:tblStyle w:val="34"/>
        <w:tblW w:w="4929" w:type="pct"/>
        <w:tblInd w:w="0" w:type="dxa"/>
        <w:tblLayout w:type="fixed"/>
        <w:tblCellMar>
          <w:top w:w="0" w:type="dxa"/>
          <w:left w:w="108" w:type="dxa"/>
          <w:bottom w:w="0" w:type="dxa"/>
          <w:right w:w="108" w:type="dxa"/>
        </w:tblCellMar>
      </w:tblPr>
      <w:tblGrid>
        <w:gridCol w:w="644"/>
        <w:gridCol w:w="2383"/>
        <w:gridCol w:w="850"/>
        <w:gridCol w:w="2895"/>
        <w:gridCol w:w="2384"/>
      </w:tblGrid>
      <w:tr w14:paraId="5505ACCA">
        <w:tblPrEx>
          <w:tblCellMar>
            <w:top w:w="0" w:type="dxa"/>
            <w:left w:w="108" w:type="dxa"/>
            <w:bottom w:w="0" w:type="dxa"/>
            <w:right w:w="108" w:type="dxa"/>
          </w:tblCellMar>
        </w:tblPrEx>
        <w:trPr>
          <w:trHeight w:val="90" w:hRule="atLeast"/>
        </w:trPr>
        <w:tc>
          <w:tcPr>
            <w:tcW w:w="352" w:type="pct"/>
            <w:tcBorders>
              <w:top w:val="single" w:color="auto" w:sz="4" w:space="0"/>
              <w:left w:val="single" w:color="auto" w:sz="4" w:space="0"/>
              <w:bottom w:val="single" w:color="auto" w:sz="4" w:space="0"/>
              <w:right w:val="single" w:color="auto" w:sz="4" w:space="0"/>
            </w:tcBorders>
            <w:noWrap/>
            <w:vAlign w:val="bottom"/>
          </w:tcPr>
          <w:p w14:paraId="2EBFD777">
            <w:pPr>
              <w:spacing w:after="0" w:line="240" w:lineRule="auto"/>
              <w:jc w:val="center"/>
              <w:rPr>
                <w:rFonts w:hint="eastAsia" w:ascii="黑体" w:hAnsi="黑体" w:eastAsia="黑体" w:cs="宋体"/>
                <w:sz w:val="18"/>
                <w:szCs w:val="18"/>
                <w:lang w:eastAsia="zh-CN"/>
              </w:rPr>
            </w:pPr>
            <w:r>
              <w:rPr>
                <w:rFonts w:ascii="黑体" w:hAnsi="黑体" w:eastAsia="黑体" w:cs="宋体"/>
                <w:sz w:val="18"/>
                <w:szCs w:val="18"/>
                <w:lang w:eastAsia="zh-CN"/>
              </w:rPr>
              <w:t>序号</w:t>
            </w:r>
          </w:p>
        </w:tc>
        <w:tc>
          <w:tcPr>
            <w:tcW w:w="1301" w:type="pct"/>
            <w:tcBorders>
              <w:top w:val="single" w:color="auto" w:sz="4" w:space="0"/>
              <w:left w:val="single" w:color="auto" w:sz="4" w:space="0"/>
              <w:bottom w:val="single" w:color="auto" w:sz="4" w:space="0"/>
              <w:right w:val="single" w:color="auto" w:sz="4" w:space="0"/>
            </w:tcBorders>
            <w:noWrap/>
            <w:vAlign w:val="bottom"/>
          </w:tcPr>
          <w:p w14:paraId="10B9B265">
            <w:pPr>
              <w:spacing w:after="0" w:line="240" w:lineRule="auto"/>
              <w:jc w:val="center"/>
              <w:rPr>
                <w:rFonts w:hint="eastAsia" w:ascii="黑体" w:hAnsi="黑体" w:eastAsia="黑体" w:cs="宋体"/>
                <w:sz w:val="18"/>
                <w:szCs w:val="18"/>
                <w:lang w:eastAsia="zh-CN"/>
              </w:rPr>
            </w:pPr>
            <w:r>
              <w:rPr>
                <w:rFonts w:ascii="黑体" w:hAnsi="黑体" w:eastAsia="黑体" w:cs="宋体"/>
                <w:sz w:val="18"/>
                <w:szCs w:val="18"/>
                <w:lang w:eastAsia="zh-CN"/>
              </w:rPr>
              <w:t>仓库</w:t>
            </w:r>
          </w:p>
        </w:tc>
        <w:tc>
          <w:tcPr>
            <w:tcW w:w="464" w:type="pct"/>
            <w:tcBorders>
              <w:top w:val="single" w:color="auto" w:sz="4" w:space="0"/>
              <w:left w:val="single" w:color="auto" w:sz="4" w:space="0"/>
              <w:bottom w:val="single" w:color="auto" w:sz="4" w:space="0"/>
              <w:right w:val="single" w:color="auto" w:sz="4" w:space="0"/>
            </w:tcBorders>
            <w:noWrap/>
            <w:vAlign w:val="bottom"/>
          </w:tcPr>
          <w:p w14:paraId="3EFD8F14">
            <w:pPr>
              <w:spacing w:after="0" w:line="240" w:lineRule="auto"/>
              <w:jc w:val="center"/>
              <w:rPr>
                <w:rFonts w:hint="eastAsia" w:ascii="黑体" w:hAnsi="黑体" w:eastAsia="黑体" w:cs="宋体"/>
                <w:sz w:val="18"/>
                <w:szCs w:val="18"/>
                <w:lang w:eastAsia="zh-CN"/>
              </w:rPr>
            </w:pPr>
            <w:r>
              <w:rPr>
                <w:rFonts w:ascii="黑体" w:hAnsi="黑体" w:eastAsia="黑体" w:cs="宋体"/>
                <w:sz w:val="18"/>
                <w:szCs w:val="18"/>
                <w:lang w:eastAsia="zh-CN"/>
              </w:rPr>
              <w:t>占地面积（平方）</w:t>
            </w:r>
          </w:p>
        </w:tc>
        <w:tc>
          <w:tcPr>
            <w:tcW w:w="1580" w:type="pct"/>
            <w:tcBorders>
              <w:top w:val="single" w:color="auto" w:sz="4" w:space="0"/>
              <w:left w:val="single" w:color="auto" w:sz="4" w:space="0"/>
              <w:bottom w:val="single" w:color="auto" w:sz="4" w:space="0"/>
              <w:right w:val="single" w:color="auto" w:sz="4" w:space="0"/>
            </w:tcBorders>
            <w:vAlign w:val="bottom"/>
          </w:tcPr>
          <w:p w14:paraId="2066C98F">
            <w:pPr>
              <w:spacing w:after="0" w:line="240" w:lineRule="auto"/>
              <w:jc w:val="center"/>
              <w:rPr>
                <w:rFonts w:hint="eastAsia" w:ascii="黑体" w:hAnsi="黑体" w:eastAsia="黑体" w:cs="宋体"/>
                <w:sz w:val="18"/>
                <w:szCs w:val="18"/>
                <w:lang w:eastAsia="zh-CN"/>
              </w:rPr>
            </w:pPr>
            <w:r>
              <w:rPr>
                <w:rFonts w:ascii="黑体" w:hAnsi="黑体" w:eastAsia="黑体" w:cs="宋体"/>
                <w:sz w:val="18"/>
                <w:szCs w:val="18"/>
                <w:lang w:eastAsia="zh-CN"/>
              </w:rPr>
              <w:t>具体地址</w:t>
            </w:r>
          </w:p>
        </w:tc>
        <w:tc>
          <w:tcPr>
            <w:tcW w:w="1301" w:type="pct"/>
            <w:tcBorders>
              <w:top w:val="single" w:color="auto" w:sz="4" w:space="0"/>
              <w:left w:val="single" w:color="auto" w:sz="4" w:space="0"/>
              <w:bottom w:val="single" w:color="auto" w:sz="4" w:space="0"/>
              <w:right w:val="single" w:color="auto" w:sz="4" w:space="0"/>
            </w:tcBorders>
            <w:noWrap/>
            <w:vAlign w:val="bottom"/>
          </w:tcPr>
          <w:p w14:paraId="224F3DE1">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备注（如补充特殊需求）</w:t>
            </w:r>
          </w:p>
        </w:tc>
      </w:tr>
      <w:tr w14:paraId="08F46448">
        <w:tblPrEx>
          <w:tblCellMar>
            <w:top w:w="0" w:type="dxa"/>
            <w:left w:w="108" w:type="dxa"/>
            <w:bottom w:w="0" w:type="dxa"/>
            <w:right w:w="108" w:type="dxa"/>
          </w:tblCellMar>
        </w:tblPrEx>
        <w:trPr>
          <w:trHeight w:val="90" w:hRule="atLeast"/>
        </w:trPr>
        <w:tc>
          <w:tcPr>
            <w:tcW w:w="352" w:type="pct"/>
            <w:tcBorders>
              <w:top w:val="single" w:color="auto" w:sz="4" w:space="0"/>
              <w:left w:val="single" w:color="auto" w:sz="4" w:space="0"/>
              <w:bottom w:val="single" w:color="auto" w:sz="4" w:space="0"/>
              <w:right w:val="single" w:color="auto" w:sz="4" w:space="0"/>
            </w:tcBorders>
            <w:noWrap/>
            <w:vAlign w:val="center"/>
          </w:tcPr>
          <w:p w14:paraId="55C2A93B">
            <w:pPr>
              <w:spacing w:after="0" w:line="240" w:lineRule="auto"/>
              <w:jc w:val="center"/>
              <w:rPr>
                <w:rFonts w:hint="eastAsia" w:ascii="黑体" w:hAnsi="黑体" w:eastAsia="黑体" w:cs="宋体"/>
                <w:sz w:val="18"/>
                <w:szCs w:val="18"/>
                <w:lang w:eastAsia="zh-CN"/>
              </w:rPr>
            </w:pPr>
            <w:r>
              <w:rPr>
                <w:rFonts w:ascii="黑体" w:hAnsi="黑体" w:eastAsia="黑体" w:cs="宋体"/>
                <w:sz w:val="18"/>
                <w:szCs w:val="18"/>
                <w:lang w:eastAsia="zh-CN"/>
              </w:rPr>
              <w:t>1</w:t>
            </w:r>
          </w:p>
        </w:tc>
        <w:tc>
          <w:tcPr>
            <w:tcW w:w="1301" w:type="pct"/>
            <w:tcBorders>
              <w:top w:val="single" w:color="auto" w:sz="4" w:space="0"/>
              <w:left w:val="nil"/>
              <w:bottom w:val="single" w:color="auto" w:sz="4" w:space="0"/>
              <w:right w:val="single" w:color="auto" w:sz="4" w:space="0"/>
            </w:tcBorders>
            <w:noWrap/>
            <w:vAlign w:val="center"/>
          </w:tcPr>
          <w:p w14:paraId="27E33332">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新新津物流中心</w:t>
            </w:r>
          </w:p>
        </w:tc>
        <w:tc>
          <w:tcPr>
            <w:tcW w:w="464" w:type="pct"/>
            <w:tcBorders>
              <w:top w:val="single" w:color="auto" w:sz="4" w:space="0"/>
              <w:left w:val="nil"/>
              <w:bottom w:val="single" w:color="auto" w:sz="4" w:space="0"/>
              <w:right w:val="single" w:color="auto" w:sz="4" w:space="0"/>
            </w:tcBorders>
            <w:noWrap/>
            <w:vAlign w:val="center"/>
          </w:tcPr>
          <w:p w14:paraId="522FDB2E">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36118</w:t>
            </w:r>
          </w:p>
        </w:tc>
        <w:tc>
          <w:tcPr>
            <w:tcW w:w="1580" w:type="pct"/>
            <w:tcBorders>
              <w:top w:val="single" w:color="auto" w:sz="4" w:space="0"/>
              <w:left w:val="nil"/>
              <w:bottom w:val="single" w:color="auto" w:sz="4" w:space="0"/>
              <w:right w:val="single" w:color="auto" w:sz="4" w:space="0"/>
            </w:tcBorders>
            <w:vAlign w:val="center"/>
          </w:tcPr>
          <w:p w14:paraId="10F861A2">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成都市新津县龙溪河北路388号普洛</w:t>
            </w:r>
            <w:r>
              <w:rPr>
                <w:rFonts w:hint="eastAsia" w:ascii="黑体" w:hAnsi="黑体" w:eastAsia="黑体" w:cs="宋体"/>
                <w:sz w:val="18"/>
                <w:szCs w:val="18"/>
                <w:lang w:eastAsia="zh-CN"/>
              </w:rPr>
              <w:br w:type="textWrapping"/>
            </w:r>
            <w:r>
              <w:rPr>
                <w:rFonts w:hint="eastAsia" w:ascii="黑体" w:hAnsi="黑体" w:eastAsia="黑体" w:cs="宋体"/>
                <w:sz w:val="18"/>
                <w:szCs w:val="18"/>
                <w:lang w:eastAsia="zh-CN"/>
              </w:rPr>
              <w:t>斯物流园3号门（零食有鸣）</w:t>
            </w:r>
          </w:p>
        </w:tc>
        <w:tc>
          <w:tcPr>
            <w:tcW w:w="1301" w:type="pct"/>
            <w:tcBorders>
              <w:top w:val="single" w:color="auto" w:sz="4" w:space="0"/>
              <w:left w:val="nil"/>
              <w:bottom w:val="single" w:color="auto" w:sz="4" w:space="0"/>
              <w:right w:val="single" w:color="auto" w:sz="4" w:space="0"/>
            </w:tcBorders>
            <w:noWrap/>
            <w:vAlign w:val="center"/>
          </w:tcPr>
          <w:p w14:paraId="23C6493D">
            <w:pPr>
              <w:spacing w:after="0" w:line="240" w:lineRule="auto"/>
              <w:jc w:val="center"/>
              <w:rPr>
                <w:rFonts w:hint="eastAsia" w:ascii="黑体" w:hAnsi="黑体" w:eastAsia="黑体" w:cs="宋体"/>
                <w:sz w:val="18"/>
                <w:szCs w:val="18"/>
                <w:lang w:eastAsia="zh-CN"/>
              </w:rPr>
            </w:pPr>
          </w:p>
        </w:tc>
      </w:tr>
      <w:tr w14:paraId="295A8C38">
        <w:tblPrEx>
          <w:tblCellMar>
            <w:top w:w="0" w:type="dxa"/>
            <w:left w:w="108" w:type="dxa"/>
            <w:bottom w:w="0" w:type="dxa"/>
            <w:right w:w="108" w:type="dxa"/>
          </w:tblCellMar>
        </w:tblPrEx>
        <w:trPr>
          <w:trHeight w:val="90" w:hRule="atLeast"/>
        </w:trPr>
        <w:tc>
          <w:tcPr>
            <w:tcW w:w="352" w:type="pct"/>
            <w:tcBorders>
              <w:top w:val="nil"/>
              <w:left w:val="single" w:color="auto" w:sz="4" w:space="0"/>
              <w:bottom w:val="single" w:color="auto" w:sz="4" w:space="0"/>
              <w:right w:val="single" w:color="auto" w:sz="4" w:space="0"/>
            </w:tcBorders>
            <w:noWrap/>
            <w:vAlign w:val="center"/>
          </w:tcPr>
          <w:p w14:paraId="22B7DDB3">
            <w:pPr>
              <w:spacing w:after="0" w:line="240" w:lineRule="auto"/>
              <w:jc w:val="center"/>
              <w:rPr>
                <w:rFonts w:hint="eastAsia" w:ascii="黑体" w:hAnsi="黑体" w:eastAsia="黑体" w:cs="宋体"/>
                <w:sz w:val="18"/>
                <w:szCs w:val="18"/>
                <w:lang w:eastAsia="zh-CN"/>
              </w:rPr>
            </w:pPr>
            <w:r>
              <w:rPr>
                <w:rFonts w:ascii="黑体" w:hAnsi="黑体" w:eastAsia="黑体" w:cs="宋体"/>
                <w:sz w:val="18"/>
                <w:szCs w:val="18"/>
                <w:lang w:eastAsia="zh-CN"/>
              </w:rPr>
              <w:t>2</w:t>
            </w:r>
          </w:p>
        </w:tc>
        <w:tc>
          <w:tcPr>
            <w:tcW w:w="1301" w:type="pct"/>
            <w:tcBorders>
              <w:top w:val="nil"/>
              <w:left w:val="nil"/>
              <w:bottom w:val="single" w:color="auto" w:sz="4" w:space="0"/>
              <w:right w:val="single" w:color="auto" w:sz="4" w:space="0"/>
            </w:tcBorders>
            <w:noWrap/>
            <w:vAlign w:val="center"/>
          </w:tcPr>
          <w:p w14:paraId="02C0D0B5">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郫都物流中心</w:t>
            </w:r>
          </w:p>
        </w:tc>
        <w:tc>
          <w:tcPr>
            <w:tcW w:w="464" w:type="pct"/>
            <w:tcBorders>
              <w:top w:val="nil"/>
              <w:left w:val="nil"/>
              <w:bottom w:val="single" w:color="auto" w:sz="4" w:space="0"/>
              <w:right w:val="single" w:color="auto" w:sz="4" w:space="0"/>
            </w:tcBorders>
            <w:noWrap/>
            <w:vAlign w:val="center"/>
          </w:tcPr>
          <w:p w14:paraId="3A135777">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24441</w:t>
            </w:r>
          </w:p>
        </w:tc>
        <w:tc>
          <w:tcPr>
            <w:tcW w:w="1580" w:type="pct"/>
            <w:tcBorders>
              <w:top w:val="nil"/>
              <w:left w:val="nil"/>
              <w:bottom w:val="single" w:color="auto" w:sz="4" w:space="0"/>
              <w:right w:val="single" w:color="auto" w:sz="4" w:space="0"/>
            </w:tcBorders>
            <w:vAlign w:val="center"/>
          </w:tcPr>
          <w:p w14:paraId="130F546A">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成都市郫都区人人乐西南物流中心（零食有鸣）南二门</w:t>
            </w:r>
          </w:p>
        </w:tc>
        <w:tc>
          <w:tcPr>
            <w:tcW w:w="1301" w:type="pct"/>
            <w:tcBorders>
              <w:top w:val="nil"/>
              <w:left w:val="nil"/>
              <w:bottom w:val="single" w:color="auto" w:sz="4" w:space="0"/>
              <w:right w:val="single" w:color="auto" w:sz="4" w:space="0"/>
            </w:tcBorders>
            <w:noWrap/>
            <w:vAlign w:val="center"/>
          </w:tcPr>
          <w:p w14:paraId="4E262B5E">
            <w:pPr>
              <w:spacing w:after="0" w:line="240" w:lineRule="auto"/>
              <w:jc w:val="center"/>
              <w:rPr>
                <w:rFonts w:hint="eastAsia" w:ascii="黑体" w:hAnsi="黑体" w:eastAsia="黑体" w:cs="宋体"/>
                <w:sz w:val="18"/>
                <w:szCs w:val="18"/>
                <w:lang w:eastAsia="zh-CN"/>
              </w:rPr>
            </w:pPr>
          </w:p>
        </w:tc>
      </w:tr>
      <w:tr w14:paraId="6549C950">
        <w:tblPrEx>
          <w:tblCellMar>
            <w:top w:w="0" w:type="dxa"/>
            <w:left w:w="108" w:type="dxa"/>
            <w:bottom w:w="0" w:type="dxa"/>
            <w:right w:w="108" w:type="dxa"/>
          </w:tblCellMar>
        </w:tblPrEx>
        <w:trPr>
          <w:trHeight w:val="90" w:hRule="atLeast"/>
        </w:trPr>
        <w:tc>
          <w:tcPr>
            <w:tcW w:w="352" w:type="pct"/>
            <w:tcBorders>
              <w:top w:val="nil"/>
              <w:left w:val="single" w:color="auto" w:sz="4" w:space="0"/>
              <w:bottom w:val="single" w:color="auto" w:sz="4" w:space="0"/>
              <w:right w:val="single" w:color="auto" w:sz="4" w:space="0"/>
            </w:tcBorders>
            <w:noWrap/>
            <w:vAlign w:val="center"/>
          </w:tcPr>
          <w:p w14:paraId="11C1F65F">
            <w:pPr>
              <w:spacing w:after="0" w:line="240" w:lineRule="auto"/>
              <w:jc w:val="center"/>
              <w:rPr>
                <w:rFonts w:hint="eastAsia" w:ascii="黑体" w:hAnsi="黑体" w:eastAsia="黑体" w:cs="宋体"/>
                <w:sz w:val="18"/>
                <w:szCs w:val="18"/>
                <w:lang w:eastAsia="zh-CN"/>
              </w:rPr>
            </w:pPr>
            <w:r>
              <w:rPr>
                <w:rFonts w:ascii="黑体" w:hAnsi="黑体" w:eastAsia="黑体" w:cs="宋体"/>
                <w:sz w:val="18"/>
                <w:szCs w:val="18"/>
                <w:lang w:eastAsia="zh-CN"/>
              </w:rPr>
              <w:t>3</w:t>
            </w:r>
          </w:p>
        </w:tc>
        <w:tc>
          <w:tcPr>
            <w:tcW w:w="1301" w:type="pct"/>
            <w:tcBorders>
              <w:top w:val="nil"/>
              <w:left w:val="nil"/>
              <w:bottom w:val="single" w:color="auto" w:sz="4" w:space="0"/>
              <w:right w:val="single" w:color="auto" w:sz="4" w:space="0"/>
            </w:tcBorders>
            <w:noWrap/>
            <w:vAlign w:val="center"/>
          </w:tcPr>
          <w:p w14:paraId="59154C90">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青白江物流中心</w:t>
            </w:r>
          </w:p>
        </w:tc>
        <w:tc>
          <w:tcPr>
            <w:tcW w:w="464" w:type="pct"/>
            <w:tcBorders>
              <w:top w:val="nil"/>
              <w:left w:val="nil"/>
              <w:bottom w:val="single" w:color="auto" w:sz="4" w:space="0"/>
              <w:right w:val="single" w:color="auto" w:sz="4" w:space="0"/>
            </w:tcBorders>
            <w:noWrap/>
            <w:vAlign w:val="center"/>
          </w:tcPr>
          <w:p w14:paraId="2127170B">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27512</w:t>
            </w:r>
          </w:p>
        </w:tc>
        <w:tc>
          <w:tcPr>
            <w:tcW w:w="1580" w:type="pct"/>
            <w:tcBorders>
              <w:top w:val="nil"/>
              <w:left w:val="nil"/>
              <w:bottom w:val="single" w:color="auto" w:sz="4" w:space="0"/>
              <w:right w:val="single" w:color="auto" w:sz="4" w:space="0"/>
            </w:tcBorders>
            <w:vAlign w:val="center"/>
          </w:tcPr>
          <w:p w14:paraId="73ABB598">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四川省成都市青白江区大祥乐路安博青白江物流中心（一期）281号  （零食有鸣）</w:t>
            </w:r>
          </w:p>
        </w:tc>
        <w:tc>
          <w:tcPr>
            <w:tcW w:w="1301" w:type="pct"/>
            <w:tcBorders>
              <w:top w:val="nil"/>
              <w:left w:val="nil"/>
              <w:bottom w:val="single" w:color="auto" w:sz="4" w:space="0"/>
              <w:right w:val="single" w:color="auto" w:sz="4" w:space="0"/>
            </w:tcBorders>
            <w:noWrap/>
            <w:vAlign w:val="center"/>
          </w:tcPr>
          <w:p w14:paraId="1D6275B1">
            <w:pPr>
              <w:spacing w:after="0" w:line="240" w:lineRule="auto"/>
              <w:jc w:val="center"/>
              <w:rPr>
                <w:rFonts w:hint="eastAsia" w:ascii="黑体" w:hAnsi="黑体" w:eastAsia="黑体" w:cs="宋体"/>
                <w:sz w:val="18"/>
                <w:szCs w:val="18"/>
                <w:lang w:eastAsia="zh-CN"/>
              </w:rPr>
            </w:pPr>
          </w:p>
        </w:tc>
      </w:tr>
      <w:tr w14:paraId="5AE493A4">
        <w:tblPrEx>
          <w:tblCellMar>
            <w:top w:w="0" w:type="dxa"/>
            <w:left w:w="108" w:type="dxa"/>
            <w:bottom w:w="0" w:type="dxa"/>
            <w:right w:w="108" w:type="dxa"/>
          </w:tblCellMar>
        </w:tblPrEx>
        <w:trPr>
          <w:trHeight w:val="90" w:hRule="atLeast"/>
        </w:trPr>
        <w:tc>
          <w:tcPr>
            <w:tcW w:w="352" w:type="pct"/>
            <w:tcBorders>
              <w:top w:val="nil"/>
              <w:left w:val="single" w:color="auto" w:sz="4" w:space="0"/>
              <w:bottom w:val="single" w:color="auto" w:sz="4" w:space="0"/>
              <w:right w:val="single" w:color="auto" w:sz="4" w:space="0"/>
            </w:tcBorders>
            <w:noWrap/>
            <w:vAlign w:val="center"/>
          </w:tcPr>
          <w:p w14:paraId="5ABCDCE0">
            <w:pPr>
              <w:spacing w:after="0" w:line="240" w:lineRule="auto"/>
              <w:jc w:val="center"/>
              <w:rPr>
                <w:rFonts w:hint="eastAsia" w:ascii="黑体" w:hAnsi="黑体" w:eastAsia="黑体" w:cs="宋体"/>
                <w:sz w:val="18"/>
                <w:szCs w:val="18"/>
                <w:lang w:eastAsia="zh-CN"/>
              </w:rPr>
            </w:pPr>
            <w:r>
              <w:rPr>
                <w:rFonts w:ascii="黑体" w:hAnsi="黑体" w:eastAsia="黑体" w:cs="宋体"/>
                <w:sz w:val="18"/>
                <w:szCs w:val="18"/>
                <w:lang w:eastAsia="zh-CN"/>
              </w:rPr>
              <w:t>4</w:t>
            </w:r>
          </w:p>
        </w:tc>
        <w:tc>
          <w:tcPr>
            <w:tcW w:w="1301" w:type="pct"/>
            <w:tcBorders>
              <w:top w:val="nil"/>
              <w:left w:val="nil"/>
              <w:bottom w:val="single" w:color="auto" w:sz="4" w:space="0"/>
              <w:right w:val="single" w:color="auto" w:sz="4" w:space="0"/>
            </w:tcBorders>
            <w:noWrap/>
            <w:vAlign w:val="center"/>
          </w:tcPr>
          <w:p w14:paraId="1A725CE9">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新南充物流中心</w:t>
            </w:r>
          </w:p>
        </w:tc>
        <w:tc>
          <w:tcPr>
            <w:tcW w:w="464" w:type="pct"/>
            <w:tcBorders>
              <w:top w:val="nil"/>
              <w:left w:val="nil"/>
              <w:bottom w:val="single" w:color="auto" w:sz="4" w:space="0"/>
              <w:right w:val="single" w:color="auto" w:sz="4" w:space="0"/>
            </w:tcBorders>
            <w:noWrap/>
            <w:vAlign w:val="center"/>
          </w:tcPr>
          <w:p w14:paraId="306320D3">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24370</w:t>
            </w:r>
          </w:p>
        </w:tc>
        <w:tc>
          <w:tcPr>
            <w:tcW w:w="1580" w:type="pct"/>
            <w:tcBorders>
              <w:top w:val="nil"/>
              <w:left w:val="nil"/>
              <w:bottom w:val="single" w:color="auto" w:sz="4" w:space="0"/>
              <w:right w:val="single" w:color="auto" w:sz="4" w:space="0"/>
            </w:tcBorders>
            <w:vAlign w:val="center"/>
          </w:tcPr>
          <w:p w14:paraId="65EF11BF">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四川省南充市高坪区川东北丰树物流3号仓3C-2</w:t>
            </w:r>
          </w:p>
        </w:tc>
        <w:tc>
          <w:tcPr>
            <w:tcW w:w="1301" w:type="pct"/>
            <w:tcBorders>
              <w:top w:val="nil"/>
              <w:left w:val="nil"/>
              <w:bottom w:val="single" w:color="auto" w:sz="4" w:space="0"/>
              <w:right w:val="single" w:color="auto" w:sz="4" w:space="0"/>
            </w:tcBorders>
            <w:noWrap/>
            <w:vAlign w:val="center"/>
          </w:tcPr>
          <w:p w14:paraId="1F88B716">
            <w:pPr>
              <w:spacing w:after="0" w:line="240" w:lineRule="auto"/>
              <w:jc w:val="center"/>
              <w:rPr>
                <w:rFonts w:hint="eastAsia" w:ascii="黑体" w:hAnsi="黑体" w:eastAsia="黑体" w:cs="宋体"/>
                <w:sz w:val="18"/>
                <w:szCs w:val="18"/>
                <w:lang w:eastAsia="zh-CN"/>
              </w:rPr>
            </w:pPr>
          </w:p>
        </w:tc>
      </w:tr>
      <w:tr w14:paraId="7B38BD53">
        <w:tblPrEx>
          <w:tblCellMar>
            <w:top w:w="0" w:type="dxa"/>
            <w:left w:w="108" w:type="dxa"/>
            <w:bottom w:w="0" w:type="dxa"/>
            <w:right w:w="108" w:type="dxa"/>
          </w:tblCellMar>
        </w:tblPrEx>
        <w:trPr>
          <w:trHeight w:val="90" w:hRule="atLeast"/>
        </w:trPr>
        <w:tc>
          <w:tcPr>
            <w:tcW w:w="352" w:type="pct"/>
            <w:tcBorders>
              <w:top w:val="nil"/>
              <w:left w:val="single" w:color="auto" w:sz="4" w:space="0"/>
              <w:bottom w:val="single" w:color="auto" w:sz="4" w:space="0"/>
              <w:right w:val="single" w:color="auto" w:sz="4" w:space="0"/>
            </w:tcBorders>
            <w:noWrap/>
            <w:vAlign w:val="center"/>
          </w:tcPr>
          <w:p w14:paraId="0E00F3D1">
            <w:pPr>
              <w:spacing w:after="0" w:line="240" w:lineRule="auto"/>
              <w:jc w:val="center"/>
              <w:rPr>
                <w:rFonts w:hint="eastAsia" w:ascii="黑体" w:hAnsi="黑体" w:eastAsia="黑体" w:cs="宋体"/>
                <w:sz w:val="18"/>
                <w:szCs w:val="18"/>
                <w:lang w:eastAsia="zh-CN"/>
              </w:rPr>
            </w:pPr>
            <w:r>
              <w:rPr>
                <w:rFonts w:ascii="黑体" w:hAnsi="黑体" w:eastAsia="黑体" w:cs="宋体"/>
                <w:sz w:val="18"/>
                <w:szCs w:val="18"/>
                <w:lang w:eastAsia="zh-CN"/>
              </w:rPr>
              <w:t>5</w:t>
            </w:r>
          </w:p>
        </w:tc>
        <w:tc>
          <w:tcPr>
            <w:tcW w:w="1301" w:type="pct"/>
            <w:tcBorders>
              <w:top w:val="nil"/>
              <w:left w:val="nil"/>
              <w:bottom w:val="single" w:color="auto" w:sz="4" w:space="0"/>
              <w:right w:val="single" w:color="auto" w:sz="4" w:space="0"/>
            </w:tcBorders>
            <w:noWrap/>
            <w:vAlign w:val="center"/>
          </w:tcPr>
          <w:p w14:paraId="5596485B">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新重庆物流中心</w:t>
            </w:r>
          </w:p>
        </w:tc>
        <w:tc>
          <w:tcPr>
            <w:tcW w:w="464" w:type="pct"/>
            <w:tcBorders>
              <w:top w:val="nil"/>
              <w:left w:val="nil"/>
              <w:bottom w:val="single" w:color="auto" w:sz="4" w:space="0"/>
              <w:right w:val="single" w:color="auto" w:sz="4" w:space="0"/>
            </w:tcBorders>
            <w:noWrap/>
            <w:vAlign w:val="center"/>
          </w:tcPr>
          <w:p w14:paraId="0162A414">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17488</w:t>
            </w:r>
          </w:p>
        </w:tc>
        <w:tc>
          <w:tcPr>
            <w:tcW w:w="1580" w:type="pct"/>
            <w:tcBorders>
              <w:top w:val="nil"/>
              <w:left w:val="nil"/>
              <w:bottom w:val="single" w:color="auto" w:sz="4" w:space="0"/>
              <w:right w:val="single" w:color="auto" w:sz="4" w:space="0"/>
            </w:tcBorders>
            <w:vAlign w:val="center"/>
          </w:tcPr>
          <w:p w14:paraId="403D3EA6">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重庆市江津区珞璜镇零食有鸣重庆仓（高德）2栋201</w:t>
            </w:r>
          </w:p>
        </w:tc>
        <w:tc>
          <w:tcPr>
            <w:tcW w:w="1301" w:type="pct"/>
            <w:tcBorders>
              <w:top w:val="nil"/>
              <w:left w:val="nil"/>
              <w:bottom w:val="single" w:color="auto" w:sz="4" w:space="0"/>
              <w:right w:val="single" w:color="auto" w:sz="4" w:space="0"/>
            </w:tcBorders>
            <w:noWrap/>
            <w:vAlign w:val="center"/>
          </w:tcPr>
          <w:p w14:paraId="089946AB">
            <w:pPr>
              <w:spacing w:after="0" w:line="240" w:lineRule="auto"/>
              <w:jc w:val="center"/>
              <w:rPr>
                <w:rFonts w:hint="eastAsia" w:ascii="黑体" w:hAnsi="黑体" w:eastAsia="黑体" w:cs="宋体"/>
                <w:sz w:val="18"/>
                <w:szCs w:val="18"/>
                <w:lang w:eastAsia="zh-CN"/>
              </w:rPr>
            </w:pPr>
          </w:p>
        </w:tc>
      </w:tr>
      <w:tr w14:paraId="71294EC0">
        <w:tblPrEx>
          <w:tblCellMar>
            <w:top w:w="0" w:type="dxa"/>
            <w:left w:w="108" w:type="dxa"/>
            <w:bottom w:w="0" w:type="dxa"/>
            <w:right w:w="108" w:type="dxa"/>
          </w:tblCellMar>
        </w:tblPrEx>
        <w:trPr>
          <w:trHeight w:val="90" w:hRule="atLeast"/>
        </w:trPr>
        <w:tc>
          <w:tcPr>
            <w:tcW w:w="352" w:type="pct"/>
            <w:tcBorders>
              <w:top w:val="nil"/>
              <w:left w:val="single" w:color="auto" w:sz="4" w:space="0"/>
              <w:bottom w:val="single" w:color="auto" w:sz="4" w:space="0"/>
              <w:right w:val="single" w:color="auto" w:sz="4" w:space="0"/>
            </w:tcBorders>
            <w:noWrap/>
            <w:vAlign w:val="center"/>
          </w:tcPr>
          <w:p w14:paraId="4AC403A0">
            <w:pPr>
              <w:spacing w:after="0" w:line="240" w:lineRule="auto"/>
              <w:jc w:val="center"/>
              <w:rPr>
                <w:rFonts w:hint="eastAsia" w:ascii="黑体" w:hAnsi="黑体" w:eastAsia="黑体" w:cs="宋体"/>
                <w:sz w:val="18"/>
                <w:szCs w:val="18"/>
                <w:lang w:eastAsia="zh-CN"/>
              </w:rPr>
            </w:pPr>
            <w:r>
              <w:rPr>
                <w:rFonts w:ascii="黑体" w:hAnsi="黑体" w:eastAsia="黑体" w:cs="宋体"/>
                <w:sz w:val="18"/>
                <w:szCs w:val="18"/>
                <w:lang w:eastAsia="zh-CN"/>
              </w:rPr>
              <w:t>6</w:t>
            </w:r>
          </w:p>
        </w:tc>
        <w:tc>
          <w:tcPr>
            <w:tcW w:w="1301" w:type="pct"/>
            <w:tcBorders>
              <w:top w:val="nil"/>
              <w:left w:val="nil"/>
              <w:bottom w:val="single" w:color="auto" w:sz="4" w:space="0"/>
              <w:right w:val="single" w:color="auto" w:sz="4" w:space="0"/>
            </w:tcBorders>
            <w:noWrap/>
            <w:vAlign w:val="center"/>
          </w:tcPr>
          <w:p w14:paraId="5CCBEF4F">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新泸州物流中心</w:t>
            </w:r>
          </w:p>
        </w:tc>
        <w:tc>
          <w:tcPr>
            <w:tcW w:w="464" w:type="pct"/>
            <w:tcBorders>
              <w:top w:val="nil"/>
              <w:left w:val="nil"/>
              <w:bottom w:val="single" w:color="auto" w:sz="4" w:space="0"/>
              <w:right w:val="single" w:color="auto" w:sz="4" w:space="0"/>
            </w:tcBorders>
            <w:noWrap/>
            <w:vAlign w:val="center"/>
          </w:tcPr>
          <w:p w14:paraId="16A88FE7">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22402</w:t>
            </w:r>
          </w:p>
        </w:tc>
        <w:tc>
          <w:tcPr>
            <w:tcW w:w="1580" w:type="pct"/>
            <w:tcBorders>
              <w:top w:val="nil"/>
              <w:left w:val="nil"/>
              <w:bottom w:val="single" w:color="auto" w:sz="4" w:space="0"/>
              <w:right w:val="single" w:color="auto" w:sz="4" w:space="0"/>
            </w:tcBorders>
            <w:vAlign w:val="center"/>
          </w:tcPr>
          <w:p w14:paraId="5BA56177">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四川省泸州市龙马潭区南溪街40号纵达物流(进门右侧仓库)</w:t>
            </w:r>
          </w:p>
        </w:tc>
        <w:tc>
          <w:tcPr>
            <w:tcW w:w="1301" w:type="pct"/>
            <w:tcBorders>
              <w:top w:val="nil"/>
              <w:left w:val="nil"/>
              <w:bottom w:val="single" w:color="auto" w:sz="4" w:space="0"/>
              <w:right w:val="single" w:color="auto" w:sz="4" w:space="0"/>
            </w:tcBorders>
            <w:noWrap/>
            <w:vAlign w:val="center"/>
          </w:tcPr>
          <w:p w14:paraId="7298F62F">
            <w:pPr>
              <w:spacing w:after="0" w:line="240" w:lineRule="auto"/>
              <w:jc w:val="center"/>
              <w:rPr>
                <w:rFonts w:hint="eastAsia" w:ascii="黑体" w:hAnsi="黑体" w:eastAsia="黑体" w:cs="宋体"/>
                <w:sz w:val="18"/>
                <w:szCs w:val="18"/>
                <w:lang w:eastAsia="zh-CN"/>
              </w:rPr>
            </w:pPr>
          </w:p>
        </w:tc>
      </w:tr>
      <w:tr w14:paraId="40A063C7">
        <w:tblPrEx>
          <w:tblCellMar>
            <w:top w:w="0" w:type="dxa"/>
            <w:left w:w="108" w:type="dxa"/>
            <w:bottom w:w="0" w:type="dxa"/>
            <w:right w:w="108" w:type="dxa"/>
          </w:tblCellMar>
        </w:tblPrEx>
        <w:trPr>
          <w:trHeight w:val="90" w:hRule="atLeast"/>
        </w:trPr>
        <w:tc>
          <w:tcPr>
            <w:tcW w:w="352" w:type="pct"/>
            <w:tcBorders>
              <w:top w:val="nil"/>
              <w:left w:val="single" w:color="auto" w:sz="4" w:space="0"/>
              <w:bottom w:val="single" w:color="auto" w:sz="4" w:space="0"/>
              <w:right w:val="single" w:color="auto" w:sz="4" w:space="0"/>
            </w:tcBorders>
            <w:noWrap/>
            <w:vAlign w:val="center"/>
          </w:tcPr>
          <w:p w14:paraId="58BF0852">
            <w:pPr>
              <w:spacing w:after="0" w:line="240" w:lineRule="auto"/>
              <w:jc w:val="center"/>
              <w:rPr>
                <w:rFonts w:hint="eastAsia" w:ascii="黑体" w:hAnsi="黑体" w:eastAsia="黑体" w:cs="宋体"/>
                <w:sz w:val="18"/>
                <w:szCs w:val="18"/>
                <w:lang w:eastAsia="zh-CN"/>
              </w:rPr>
            </w:pPr>
            <w:r>
              <w:rPr>
                <w:rFonts w:ascii="黑体" w:hAnsi="黑体" w:eastAsia="黑体" w:cs="宋体"/>
                <w:sz w:val="18"/>
                <w:szCs w:val="18"/>
                <w:lang w:eastAsia="zh-CN"/>
              </w:rPr>
              <w:t>7</w:t>
            </w:r>
          </w:p>
        </w:tc>
        <w:tc>
          <w:tcPr>
            <w:tcW w:w="1301" w:type="pct"/>
            <w:tcBorders>
              <w:top w:val="nil"/>
              <w:left w:val="nil"/>
              <w:bottom w:val="single" w:color="auto" w:sz="4" w:space="0"/>
              <w:right w:val="single" w:color="auto" w:sz="4" w:space="0"/>
            </w:tcBorders>
            <w:noWrap/>
            <w:vAlign w:val="center"/>
          </w:tcPr>
          <w:p w14:paraId="33AF1346">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新郑州物流中心</w:t>
            </w:r>
          </w:p>
        </w:tc>
        <w:tc>
          <w:tcPr>
            <w:tcW w:w="464" w:type="pct"/>
            <w:tcBorders>
              <w:top w:val="nil"/>
              <w:left w:val="nil"/>
              <w:bottom w:val="single" w:color="auto" w:sz="4" w:space="0"/>
              <w:right w:val="single" w:color="auto" w:sz="4" w:space="0"/>
            </w:tcBorders>
            <w:noWrap/>
            <w:vAlign w:val="center"/>
          </w:tcPr>
          <w:p w14:paraId="5E8323F8">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20566</w:t>
            </w:r>
          </w:p>
        </w:tc>
        <w:tc>
          <w:tcPr>
            <w:tcW w:w="1580" w:type="pct"/>
            <w:tcBorders>
              <w:top w:val="nil"/>
              <w:left w:val="nil"/>
              <w:bottom w:val="single" w:color="auto" w:sz="4" w:space="0"/>
              <w:right w:val="single" w:color="auto" w:sz="4" w:space="0"/>
            </w:tcBorders>
            <w:vAlign w:val="center"/>
          </w:tcPr>
          <w:p w14:paraId="6807BC21">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河南省新密市曲梁镇普洛斯郑南物流园B区(B-1北头办公室)</w:t>
            </w:r>
          </w:p>
        </w:tc>
        <w:tc>
          <w:tcPr>
            <w:tcW w:w="1301" w:type="pct"/>
            <w:tcBorders>
              <w:top w:val="nil"/>
              <w:left w:val="nil"/>
              <w:bottom w:val="single" w:color="auto" w:sz="4" w:space="0"/>
              <w:right w:val="single" w:color="auto" w:sz="4" w:space="0"/>
            </w:tcBorders>
            <w:noWrap/>
            <w:vAlign w:val="center"/>
          </w:tcPr>
          <w:p w14:paraId="0BC9326E">
            <w:pPr>
              <w:spacing w:after="0" w:line="240" w:lineRule="auto"/>
              <w:jc w:val="center"/>
              <w:rPr>
                <w:rFonts w:hint="eastAsia" w:ascii="黑体" w:hAnsi="黑体" w:eastAsia="黑体" w:cs="宋体"/>
                <w:sz w:val="18"/>
                <w:szCs w:val="18"/>
                <w:lang w:eastAsia="zh-CN"/>
              </w:rPr>
            </w:pPr>
          </w:p>
        </w:tc>
      </w:tr>
      <w:tr w14:paraId="5486597F">
        <w:tblPrEx>
          <w:tblCellMar>
            <w:top w:w="0" w:type="dxa"/>
            <w:left w:w="108" w:type="dxa"/>
            <w:bottom w:w="0" w:type="dxa"/>
            <w:right w:w="108" w:type="dxa"/>
          </w:tblCellMar>
        </w:tblPrEx>
        <w:trPr>
          <w:trHeight w:val="90" w:hRule="atLeast"/>
        </w:trPr>
        <w:tc>
          <w:tcPr>
            <w:tcW w:w="352" w:type="pct"/>
            <w:tcBorders>
              <w:top w:val="nil"/>
              <w:left w:val="single" w:color="auto" w:sz="4" w:space="0"/>
              <w:bottom w:val="single" w:color="auto" w:sz="4" w:space="0"/>
              <w:right w:val="single" w:color="auto" w:sz="4" w:space="0"/>
            </w:tcBorders>
            <w:noWrap/>
            <w:vAlign w:val="center"/>
          </w:tcPr>
          <w:p w14:paraId="64209D83">
            <w:pPr>
              <w:spacing w:after="0" w:line="240" w:lineRule="auto"/>
              <w:jc w:val="center"/>
              <w:rPr>
                <w:rFonts w:hint="eastAsia" w:ascii="黑体" w:hAnsi="黑体" w:eastAsia="黑体" w:cs="宋体"/>
                <w:sz w:val="18"/>
                <w:szCs w:val="18"/>
                <w:lang w:eastAsia="zh-CN"/>
              </w:rPr>
            </w:pPr>
            <w:r>
              <w:rPr>
                <w:rFonts w:ascii="黑体" w:hAnsi="黑体" w:eastAsia="黑体" w:cs="宋体"/>
                <w:sz w:val="18"/>
                <w:szCs w:val="18"/>
                <w:lang w:eastAsia="zh-CN"/>
              </w:rPr>
              <w:t>8</w:t>
            </w:r>
          </w:p>
        </w:tc>
        <w:tc>
          <w:tcPr>
            <w:tcW w:w="1301" w:type="pct"/>
            <w:tcBorders>
              <w:top w:val="nil"/>
              <w:left w:val="nil"/>
              <w:bottom w:val="single" w:color="auto" w:sz="4" w:space="0"/>
              <w:right w:val="single" w:color="auto" w:sz="4" w:space="0"/>
            </w:tcBorders>
            <w:noWrap/>
            <w:vAlign w:val="center"/>
          </w:tcPr>
          <w:p w14:paraId="52478AB9">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新兰州物流中心</w:t>
            </w:r>
          </w:p>
        </w:tc>
        <w:tc>
          <w:tcPr>
            <w:tcW w:w="464" w:type="pct"/>
            <w:tcBorders>
              <w:top w:val="nil"/>
              <w:left w:val="nil"/>
              <w:bottom w:val="single" w:color="auto" w:sz="4" w:space="0"/>
              <w:right w:val="single" w:color="auto" w:sz="4" w:space="0"/>
            </w:tcBorders>
            <w:noWrap/>
            <w:vAlign w:val="center"/>
          </w:tcPr>
          <w:p w14:paraId="1DA1B6C6">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22747</w:t>
            </w:r>
          </w:p>
        </w:tc>
        <w:tc>
          <w:tcPr>
            <w:tcW w:w="1580" w:type="pct"/>
            <w:tcBorders>
              <w:top w:val="nil"/>
              <w:left w:val="nil"/>
              <w:bottom w:val="single" w:color="auto" w:sz="4" w:space="0"/>
              <w:right w:val="single" w:color="auto" w:sz="4" w:space="0"/>
            </w:tcBorders>
            <w:vAlign w:val="center"/>
          </w:tcPr>
          <w:p w14:paraId="5FED7C0E">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甘肃省兰州市皋兰县丰恩现代物流园3号库</w:t>
            </w:r>
            <w:r>
              <w:rPr>
                <w:rFonts w:hint="eastAsia" w:ascii="黑体" w:hAnsi="黑体" w:eastAsia="黑体" w:cs="宋体"/>
                <w:sz w:val="18"/>
                <w:szCs w:val="18"/>
                <w:lang w:eastAsia="zh-CN"/>
              </w:rPr>
              <w:br w:type="textWrapping"/>
            </w:r>
            <w:r>
              <w:rPr>
                <w:rFonts w:hint="eastAsia" w:ascii="黑体" w:hAnsi="黑体" w:eastAsia="黑体" w:cs="宋体"/>
                <w:sz w:val="18"/>
                <w:szCs w:val="18"/>
                <w:lang w:eastAsia="zh-CN"/>
              </w:rPr>
              <w:t>零食有鸣</w:t>
            </w:r>
          </w:p>
        </w:tc>
        <w:tc>
          <w:tcPr>
            <w:tcW w:w="1301" w:type="pct"/>
            <w:tcBorders>
              <w:top w:val="nil"/>
              <w:left w:val="nil"/>
              <w:bottom w:val="single" w:color="auto" w:sz="4" w:space="0"/>
              <w:right w:val="single" w:color="auto" w:sz="4" w:space="0"/>
            </w:tcBorders>
            <w:noWrap/>
            <w:vAlign w:val="center"/>
          </w:tcPr>
          <w:p w14:paraId="34BD12C8">
            <w:pPr>
              <w:spacing w:after="0" w:line="240" w:lineRule="auto"/>
              <w:jc w:val="center"/>
              <w:rPr>
                <w:rFonts w:hint="eastAsia" w:ascii="黑体" w:hAnsi="黑体" w:eastAsia="黑体" w:cs="宋体"/>
                <w:sz w:val="18"/>
                <w:szCs w:val="18"/>
                <w:lang w:eastAsia="zh-CN"/>
              </w:rPr>
            </w:pPr>
          </w:p>
        </w:tc>
      </w:tr>
      <w:tr w14:paraId="1ED63A79">
        <w:tblPrEx>
          <w:tblCellMar>
            <w:top w:w="0" w:type="dxa"/>
            <w:left w:w="108" w:type="dxa"/>
            <w:bottom w:w="0" w:type="dxa"/>
            <w:right w:w="108" w:type="dxa"/>
          </w:tblCellMar>
        </w:tblPrEx>
        <w:trPr>
          <w:trHeight w:val="90" w:hRule="atLeast"/>
        </w:trPr>
        <w:tc>
          <w:tcPr>
            <w:tcW w:w="352" w:type="pct"/>
            <w:tcBorders>
              <w:top w:val="nil"/>
              <w:left w:val="single" w:color="auto" w:sz="4" w:space="0"/>
              <w:bottom w:val="single" w:color="auto" w:sz="4" w:space="0"/>
              <w:right w:val="single" w:color="auto" w:sz="4" w:space="0"/>
            </w:tcBorders>
            <w:noWrap/>
            <w:vAlign w:val="center"/>
          </w:tcPr>
          <w:p w14:paraId="41244AFB">
            <w:pPr>
              <w:spacing w:after="0" w:line="240" w:lineRule="auto"/>
              <w:jc w:val="center"/>
              <w:rPr>
                <w:rFonts w:hint="eastAsia" w:ascii="黑体" w:hAnsi="黑体" w:eastAsia="黑体" w:cs="宋体"/>
                <w:sz w:val="18"/>
                <w:szCs w:val="18"/>
                <w:lang w:eastAsia="zh-CN"/>
              </w:rPr>
            </w:pPr>
            <w:r>
              <w:rPr>
                <w:rFonts w:ascii="黑体" w:hAnsi="黑体" w:eastAsia="黑体" w:cs="宋体"/>
                <w:sz w:val="18"/>
                <w:szCs w:val="18"/>
                <w:lang w:eastAsia="zh-CN"/>
              </w:rPr>
              <w:t>9</w:t>
            </w:r>
          </w:p>
        </w:tc>
        <w:tc>
          <w:tcPr>
            <w:tcW w:w="1301" w:type="pct"/>
            <w:tcBorders>
              <w:top w:val="nil"/>
              <w:left w:val="nil"/>
              <w:bottom w:val="single" w:color="auto" w:sz="4" w:space="0"/>
              <w:right w:val="single" w:color="auto" w:sz="4" w:space="0"/>
            </w:tcBorders>
            <w:noWrap/>
            <w:vAlign w:val="center"/>
          </w:tcPr>
          <w:p w14:paraId="285D63F7">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新佛山物流中心</w:t>
            </w:r>
          </w:p>
        </w:tc>
        <w:tc>
          <w:tcPr>
            <w:tcW w:w="464" w:type="pct"/>
            <w:tcBorders>
              <w:top w:val="nil"/>
              <w:left w:val="nil"/>
              <w:bottom w:val="single" w:color="auto" w:sz="4" w:space="0"/>
              <w:right w:val="single" w:color="auto" w:sz="4" w:space="0"/>
            </w:tcBorders>
            <w:noWrap/>
            <w:vAlign w:val="center"/>
          </w:tcPr>
          <w:p w14:paraId="21D0B9F9">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18957</w:t>
            </w:r>
          </w:p>
        </w:tc>
        <w:tc>
          <w:tcPr>
            <w:tcW w:w="1580" w:type="pct"/>
            <w:tcBorders>
              <w:top w:val="nil"/>
              <w:left w:val="nil"/>
              <w:bottom w:val="single" w:color="auto" w:sz="4" w:space="0"/>
              <w:right w:val="single" w:color="auto" w:sz="4" w:space="0"/>
            </w:tcBorders>
            <w:vAlign w:val="center"/>
          </w:tcPr>
          <w:p w14:paraId="5F7B449F">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广东省佛山市顺德区陈村镇普洛斯国通物流园南三门A3栋零食有鸣</w:t>
            </w:r>
          </w:p>
        </w:tc>
        <w:tc>
          <w:tcPr>
            <w:tcW w:w="1301" w:type="pct"/>
            <w:tcBorders>
              <w:top w:val="nil"/>
              <w:left w:val="nil"/>
              <w:bottom w:val="single" w:color="auto" w:sz="4" w:space="0"/>
              <w:right w:val="single" w:color="auto" w:sz="4" w:space="0"/>
            </w:tcBorders>
            <w:noWrap/>
            <w:vAlign w:val="center"/>
          </w:tcPr>
          <w:p w14:paraId="17046653">
            <w:pPr>
              <w:spacing w:after="0" w:line="240" w:lineRule="auto"/>
              <w:jc w:val="center"/>
              <w:rPr>
                <w:rFonts w:hint="eastAsia" w:ascii="黑体" w:hAnsi="黑体" w:eastAsia="黑体" w:cs="宋体"/>
                <w:sz w:val="18"/>
                <w:szCs w:val="18"/>
                <w:lang w:eastAsia="zh-CN"/>
              </w:rPr>
            </w:pPr>
          </w:p>
        </w:tc>
      </w:tr>
      <w:tr w14:paraId="07464333">
        <w:tblPrEx>
          <w:tblCellMar>
            <w:top w:w="0" w:type="dxa"/>
            <w:left w:w="108" w:type="dxa"/>
            <w:bottom w:w="0" w:type="dxa"/>
            <w:right w:w="108" w:type="dxa"/>
          </w:tblCellMar>
        </w:tblPrEx>
        <w:trPr>
          <w:trHeight w:val="90" w:hRule="atLeast"/>
        </w:trPr>
        <w:tc>
          <w:tcPr>
            <w:tcW w:w="352" w:type="pct"/>
            <w:tcBorders>
              <w:top w:val="nil"/>
              <w:left w:val="single" w:color="auto" w:sz="4" w:space="0"/>
              <w:bottom w:val="single" w:color="auto" w:sz="4" w:space="0"/>
              <w:right w:val="single" w:color="auto" w:sz="4" w:space="0"/>
            </w:tcBorders>
            <w:noWrap/>
            <w:vAlign w:val="center"/>
          </w:tcPr>
          <w:p w14:paraId="1B8DEFE7">
            <w:pPr>
              <w:spacing w:after="0" w:line="240" w:lineRule="auto"/>
              <w:jc w:val="center"/>
              <w:rPr>
                <w:rFonts w:hint="eastAsia" w:ascii="黑体" w:hAnsi="黑体" w:eastAsia="黑体" w:cs="宋体"/>
                <w:sz w:val="18"/>
                <w:szCs w:val="18"/>
                <w:lang w:eastAsia="zh-CN"/>
              </w:rPr>
            </w:pPr>
            <w:r>
              <w:rPr>
                <w:rFonts w:ascii="黑体" w:hAnsi="黑体" w:eastAsia="黑体" w:cs="宋体"/>
                <w:sz w:val="18"/>
                <w:szCs w:val="18"/>
                <w:lang w:eastAsia="zh-CN"/>
              </w:rPr>
              <w:t>10</w:t>
            </w:r>
          </w:p>
        </w:tc>
        <w:tc>
          <w:tcPr>
            <w:tcW w:w="1301" w:type="pct"/>
            <w:tcBorders>
              <w:top w:val="nil"/>
              <w:left w:val="nil"/>
              <w:bottom w:val="single" w:color="auto" w:sz="4" w:space="0"/>
              <w:right w:val="single" w:color="auto" w:sz="4" w:space="0"/>
            </w:tcBorders>
            <w:noWrap/>
            <w:vAlign w:val="center"/>
          </w:tcPr>
          <w:p w14:paraId="2F393062">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新海口物流中心</w:t>
            </w:r>
          </w:p>
        </w:tc>
        <w:tc>
          <w:tcPr>
            <w:tcW w:w="464" w:type="pct"/>
            <w:tcBorders>
              <w:top w:val="nil"/>
              <w:left w:val="nil"/>
              <w:bottom w:val="single" w:color="auto" w:sz="4" w:space="0"/>
              <w:right w:val="single" w:color="auto" w:sz="4" w:space="0"/>
            </w:tcBorders>
            <w:noWrap/>
            <w:vAlign w:val="center"/>
          </w:tcPr>
          <w:p w14:paraId="4001F3AC">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29730</w:t>
            </w:r>
          </w:p>
        </w:tc>
        <w:tc>
          <w:tcPr>
            <w:tcW w:w="1580" w:type="pct"/>
            <w:tcBorders>
              <w:top w:val="nil"/>
              <w:left w:val="nil"/>
              <w:bottom w:val="single" w:color="auto" w:sz="4" w:space="0"/>
              <w:right w:val="single" w:color="auto" w:sz="4" w:space="0"/>
            </w:tcBorders>
            <w:vAlign w:val="center"/>
          </w:tcPr>
          <w:p w14:paraId="25EDDFAF">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海南省澄迈县大丰镇金马大道京东智能产业园亚洲一号B4库</w:t>
            </w:r>
          </w:p>
        </w:tc>
        <w:tc>
          <w:tcPr>
            <w:tcW w:w="1301" w:type="pct"/>
            <w:tcBorders>
              <w:top w:val="nil"/>
              <w:left w:val="nil"/>
              <w:bottom w:val="single" w:color="auto" w:sz="4" w:space="0"/>
              <w:right w:val="single" w:color="auto" w:sz="4" w:space="0"/>
            </w:tcBorders>
            <w:noWrap/>
            <w:vAlign w:val="center"/>
          </w:tcPr>
          <w:p w14:paraId="31AAFA04">
            <w:pPr>
              <w:spacing w:after="0" w:line="240" w:lineRule="auto"/>
              <w:jc w:val="center"/>
              <w:rPr>
                <w:rFonts w:hint="eastAsia" w:ascii="黑体" w:hAnsi="黑体" w:eastAsia="黑体" w:cs="宋体"/>
                <w:sz w:val="18"/>
                <w:szCs w:val="18"/>
                <w:lang w:eastAsia="zh-CN"/>
              </w:rPr>
            </w:pPr>
          </w:p>
        </w:tc>
      </w:tr>
      <w:tr w14:paraId="47AEB865">
        <w:tblPrEx>
          <w:tblCellMar>
            <w:top w:w="0" w:type="dxa"/>
            <w:left w:w="108" w:type="dxa"/>
            <w:bottom w:w="0" w:type="dxa"/>
            <w:right w:w="108" w:type="dxa"/>
          </w:tblCellMar>
        </w:tblPrEx>
        <w:trPr>
          <w:trHeight w:val="90" w:hRule="atLeast"/>
        </w:trPr>
        <w:tc>
          <w:tcPr>
            <w:tcW w:w="352" w:type="pct"/>
            <w:tcBorders>
              <w:top w:val="nil"/>
              <w:left w:val="single" w:color="auto" w:sz="4" w:space="0"/>
              <w:bottom w:val="single" w:color="auto" w:sz="4" w:space="0"/>
              <w:right w:val="single" w:color="auto" w:sz="4" w:space="0"/>
            </w:tcBorders>
            <w:noWrap/>
            <w:vAlign w:val="center"/>
          </w:tcPr>
          <w:p w14:paraId="2D8CA38A">
            <w:pPr>
              <w:spacing w:after="0" w:line="240" w:lineRule="auto"/>
              <w:jc w:val="center"/>
              <w:rPr>
                <w:rFonts w:hint="eastAsia" w:ascii="黑体" w:hAnsi="黑体" w:eastAsia="黑体" w:cs="宋体"/>
                <w:sz w:val="18"/>
                <w:szCs w:val="18"/>
                <w:lang w:eastAsia="zh-CN"/>
              </w:rPr>
            </w:pPr>
            <w:r>
              <w:rPr>
                <w:rFonts w:ascii="黑体" w:hAnsi="黑体" w:eastAsia="黑体" w:cs="宋体"/>
                <w:sz w:val="18"/>
                <w:szCs w:val="18"/>
                <w:lang w:eastAsia="zh-CN"/>
              </w:rPr>
              <w:t>11</w:t>
            </w:r>
          </w:p>
        </w:tc>
        <w:tc>
          <w:tcPr>
            <w:tcW w:w="1301" w:type="pct"/>
            <w:tcBorders>
              <w:top w:val="nil"/>
              <w:left w:val="nil"/>
              <w:bottom w:val="single" w:color="auto" w:sz="4" w:space="0"/>
              <w:right w:val="single" w:color="auto" w:sz="4" w:space="0"/>
            </w:tcBorders>
            <w:noWrap/>
            <w:vAlign w:val="center"/>
          </w:tcPr>
          <w:p w14:paraId="076ABED3">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新惠州物流中心</w:t>
            </w:r>
          </w:p>
        </w:tc>
        <w:tc>
          <w:tcPr>
            <w:tcW w:w="464" w:type="pct"/>
            <w:tcBorders>
              <w:top w:val="nil"/>
              <w:left w:val="nil"/>
              <w:bottom w:val="single" w:color="auto" w:sz="4" w:space="0"/>
              <w:right w:val="single" w:color="auto" w:sz="4" w:space="0"/>
            </w:tcBorders>
            <w:noWrap/>
            <w:vAlign w:val="center"/>
          </w:tcPr>
          <w:p w14:paraId="25276864">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28722</w:t>
            </w:r>
          </w:p>
        </w:tc>
        <w:tc>
          <w:tcPr>
            <w:tcW w:w="1580" w:type="pct"/>
            <w:tcBorders>
              <w:top w:val="nil"/>
              <w:left w:val="nil"/>
              <w:bottom w:val="single" w:color="auto" w:sz="4" w:space="0"/>
              <w:right w:val="single" w:color="auto" w:sz="4" w:space="0"/>
            </w:tcBorders>
            <w:vAlign w:val="center"/>
          </w:tcPr>
          <w:p w14:paraId="73DC7F98">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广东省惠州市仲恺宝湾物流园3楼零食有鸣</w:t>
            </w:r>
          </w:p>
        </w:tc>
        <w:tc>
          <w:tcPr>
            <w:tcW w:w="1301" w:type="pct"/>
            <w:tcBorders>
              <w:top w:val="nil"/>
              <w:left w:val="nil"/>
              <w:bottom w:val="single" w:color="auto" w:sz="4" w:space="0"/>
              <w:right w:val="single" w:color="auto" w:sz="4" w:space="0"/>
            </w:tcBorders>
            <w:noWrap/>
            <w:vAlign w:val="center"/>
          </w:tcPr>
          <w:p w14:paraId="6D17DE0E">
            <w:pPr>
              <w:spacing w:after="0" w:line="240" w:lineRule="auto"/>
              <w:jc w:val="center"/>
              <w:rPr>
                <w:rFonts w:hint="eastAsia" w:ascii="黑体" w:hAnsi="黑体" w:eastAsia="黑体" w:cs="宋体"/>
                <w:sz w:val="18"/>
                <w:szCs w:val="18"/>
                <w:lang w:eastAsia="zh-CN"/>
              </w:rPr>
            </w:pPr>
          </w:p>
        </w:tc>
      </w:tr>
      <w:tr w14:paraId="0DB30B2C">
        <w:tblPrEx>
          <w:tblCellMar>
            <w:top w:w="0" w:type="dxa"/>
            <w:left w:w="108" w:type="dxa"/>
            <w:bottom w:w="0" w:type="dxa"/>
            <w:right w:w="108" w:type="dxa"/>
          </w:tblCellMar>
        </w:tblPrEx>
        <w:trPr>
          <w:trHeight w:val="90" w:hRule="atLeast"/>
        </w:trPr>
        <w:tc>
          <w:tcPr>
            <w:tcW w:w="352" w:type="pct"/>
            <w:tcBorders>
              <w:top w:val="nil"/>
              <w:left w:val="single" w:color="auto" w:sz="4" w:space="0"/>
              <w:bottom w:val="single" w:color="auto" w:sz="4" w:space="0"/>
              <w:right w:val="single" w:color="auto" w:sz="4" w:space="0"/>
            </w:tcBorders>
            <w:noWrap/>
            <w:vAlign w:val="center"/>
          </w:tcPr>
          <w:p w14:paraId="14E4D788">
            <w:pPr>
              <w:spacing w:after="0" w:line="240" w:lineRule="auto"/>
              <w:jc w:val="center"/>
              <w:rPr>
                <w:rFonts w:hint="eastAsia" w:ascii="黑体" w:hAnsi="黑体" w:eastAsia="黑体" w:cs="宋体"/>
                <w:sz w:val="18"/>
                <w:szCs w:val="18"/>
                <w:lang w:eastAsia="zh-CN"/>
              </w:rPr>
            </w:pPr>
            <w:r>
              <w:rPr>
                <w:rFonts w:ascii="黑体" w:hAnsi="黑体" w:eastAsia="黑体" w:cs="宋体"/>
                <w:sz w:val="18"/>
                <w:szCs w:val="18"/>
                <w:lang w:eastAsia="zh-CN"/>
              </w:rPr>
              <w:t>12</w:t>
            </w:r>
          </w:p>
        </w:tc>
        <w:tc>
          <w:tcPr>
            <w:tcW w:w="1301" w:type="pct"/>
            <w:tcBorders>
              <w:top w:val="nil"/>
              <w:left w:val="nil"/>
              <w:bottom w:val="single" w:color="auto" w:sz="4" w:space="0"/>
              <w:right w:val="single" w:color="auto" w:sz="4" w:space="0"/>
            </w:tcBorders>
            <w:noWrap/>
            <w:vAlign w:val="center"/>
          </w:tcPr>
          <w:p w14:paraId="2A2D31E8">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简阳物流中心</w:t>
            </w:r>
          </w:p>
        </w:tc>
        <w:tc>
          <w:tcPr>
            <w:tcW w:w="464" w:type="pct"/>
            <w:tcBorders>
              <w:top w:val="nil"/>
              <w:left w:val="nil"/>
              <w:bottom w:val="single" w:color="auto" w:sz="4" w:space="0"/>
              <w:right w:val="single" w:color="auto" w:sz="4" w:space="0"/>
            </w:tcBorders>
            <w:noWrap/>
            <w:vAlign w:val="center"/>
          </w:tcPr>
          <w:p w14:paraId="22E05F49">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22405</w:t>
            </w:r>
          </w:p>
        </w:tc>
        <w:tc>
          <w:tcPr>
            <w:tcW w:w="1580" w:type="pct"/>
            <w:tcBorders>
              <w:top w:val="nil"/>
              <w:left w:val="nil"/>
              <w:bottom w:val="single" w:color="auto" w:sz="4" w:space="0"/>
              <w:right w:val="single" w:color="auto" w:sz="4" w:space="0"/>
            </w:tcBorders>
            <w:vAlign w:val="center"/>
          </w:tcPr>
          <w:p w14:paraId="14B42A5F">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简阳西南唯品会（东北门）9号库，零食有鸣</w:t>
            </w:r>
          </w:p>
        </w:tc>
        <w:tc>
          <w:tcPr>
            <w:tcW w:w="1301" w:type="pct"/>
            <w:tcBorders>
              <w:top w:val="nil"/>
              <w:left w:val="nil"/>
              <w:bottom w:val="single" w:color="auto" w:sz="4" w:space="0"/>
              <w:right w:val="single" w:color="auto" w:sz="4" w:space="0"/>
            </w:tcBorders>
            <w:noWrap/>
            <w:vAlign w:val="center"/>
          </w:tcPr>
          <w:p w14:paraId="5ECA307D">
            <w:pPr>
              <w:spacing w:after="0" w:line="240" w:lineRule="auto"/>
              <w:jc w:val="center"/>
              <w:rPr>
                <w:rFonts w:hint="eastAsia" w:ascii="黑体" w:hAnsi="黑体" w:eastAsia="黑体" w:cs="宋体"/>
                <w:sz w:val="18"/>
                <w:szCs w:val="18"/>
                <w:lang w:eastAsia="zh-CN"/>
              </w:rPr>
            </w:pPr>
          </w:p>
        </w:tc>
      </w:tr>
      <w:tr w14:paraId="1A804197">
        <w:tblPrEx>
          <w:tblCellMar>
            <w:top w:w="0" w:type="dxa"/>
            <w:left w:w="108" w:type="dxa"/>
            <w:bottom w:w="0" w:type="dxa"/>
            <w:right w:w="108" w:type="dxa"/>
          </w:tblCellMar>
        </w:tblPrEx>
        <w:trPr>
          <w:trHeight w:val="90" w:hRule="atLeast"/>
        </w:trPr>
        <w:tc>
          <w:tcPr>
            <w:tcW w:w="352" w:type="pct"/>
            <w:tcBorders>
              <w:top w:val="nil"/>
              <w:left w:val="single" w:color="auto" w:sz="4" w:space="0"/>
              <w:bottom w:val="single" w:color="auto" w:sz="4" w:space="0"/>
              <w:right w:val="single" w:color="auto" w:sz="4" w:space="0"/>
            </w:tcBorders>
            <w:noWrap/>
            <w:vAlign w:val="center"/>
          </w:tcPr>
          <w:p w14:paraId="28C04FB5">
            <w:pPr>
              <w:spacing w:after="0" w:line="240" w:lineRule="auto"/>
              <w:jc w:val="center"/>
              <w:rPr>
                <w:rFonts w:hint="eastAsia" w:ascii="黑体" w:hAnsi="黑体" w:eastAsia="黑体" w:cs="宋体"/>
                <w:sz w:val="18"/>
                <w:szCs w:val="18"/>
                <w:lang w:eastAsia="zh-CN"/>
              </w:rPr>
            </w:pPr>
            <w:r>
              <w:rPr>
                <w:rFonts w:ascii="黑体" w:hAnsi="黑体" w:eastAsia="黑体" w:cs="宋体"/>
                <w:sz w:val="18"/>
                <w:szCs w:val="18"/>
                <w:lang w:eastAsia="zh-CN"/>
              </w:rPr>
              <w:t>13</w:t>
            </w:r>
          </w:p>
        </w:tc>
        <w:tc>
          <w:tcPr>
            <w:tcW w:w="1301" w:type="pct"/>
            <w:tcBorders>
              <w:top w:val="nil"/>
              <w:left w:val="nil"/>
              <w:bottom w:val="single" w:color="auto" w:sz="4" w:space="0"/>
              <w:right w:val="single" w:color="auto" w:sz="4" w:space="0"/>
            </w:tcBorders>
            <w:noWrap/>
            <w:vAlign w:val="center"/>
          </w:tcPr>
          <w:p w14:paraId="74BE997C">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绵阳物流中心</w:t>
            </w:r>
          </w:p>
        </w:tc>
        <w:tc>
          <w:tcPr>
            <w:tcW w:w="464" w:type="pct"/>
            <w:tcBorders>
              <w:top w:val="nil"/>
              <w:left w:val="nil"/>
              <w:bottom w:val="single" w:color="auto" w:sz="4" w:space="0"/>
              <w:right w:val="single" w:color="auto" w:sz="4" w:space="0"/>
            </w:tcBorders>
            <w:noWrap/>
            <w:vAlign w:val="center"/>
          </w:tcPr>
          <w:p w14:paraId="4F1315DE">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19179</w:t>
            </w:r>
          </w:p>
        </w:tc>
        <w:tc>
          <w:tcPr>
            <w:tcW w:w="1580" w:type="pct"/>
            <w:tcBorders>
              <w:top w:val="nil"/>
              <w:left w:val="nil"/>
              <w:bottom w:val="single" w:color="auto" w:sz="4" w:space="0"/>
              <w:right w:val="single" w:color="auto" w:sz="4" w:space="0"/>
            </w:tcBorders>
            <w:vAlign w:val="center"/>
          </w:tcPr>
          <w:p w14:paraId="2A3ACE2D">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四川省绵阳市涪城区新平大道 38 号丰树川北国际产业园</w:t>
            </w:r>
          </w:p>
        </w:tc>
        <w:tc>
          <w:tcPr>
            <w:tcW w:w="1301" w:type="pct"/>
            <w:tcBorders>
              <w:top w:val="nil"/>
              <w:left w:val="nil"/>
              <w:bottom w:val="single" w:color="auto" w:sz="4" w:space="0"/>
              <w:right w:val="single" w:color="auto" w:sz="4" w:space="0"/>
            </w:tcBorders>
            <w:noWrap/>
            <w:vAlign w:val="center"/>
          </w:tcPr>
          <w:p w14:paraId="2D0456BC">
            <w:pPr>
              <w:spacing w:after="0" w:line="240" w:lineRule="auto"/>
              <w:jc w:val="center"/>
              <w:rPr>
                <w:rFonts w:hint="eastAsia" w:ascii="黑体" w:hAnsi="黑体" w:eastAsia="黑体" w:cs="宋体"/>
                <w:sz w:val="18"/>
                <w:szCs w:val="18"/>
                <w:lang w:eastAsia="zh-CN"/>
              </w:rPr>
            </w:pPr>
          </w:p>
        </w:tc>
      </w:tr>
      <w:tr w14:paraId="6B267A48">
        <w:tblPrEx>
          <w:tblCellMar>
            <w:top w:w="0" w:type="dxa"/>
            <w:left w:w="108" w:type="dxa"/>
            <w:bottom w:w="0" w:type="dxa"/>
            <w:right w:w="108" w:type="dxa"/>
          </w:tblCellMar>
        </w:tblPrEx>
        <w:trPr>
          <w:trHeight w:val="90" w:hRule="atLeast"/>
        </w:trPr>
        <w:tc>
          <w:tcPr>
            <w:tcW w:w="352" w:type="pct"/>
            <w:tcBorders>
              <w:top w:val="nil"/>
              <w:left w:val="single" w:color="auto" w:sz="4" w:space="0"/>
              <w:bottom w:val="single" w:color="auto" w:sz="4" w:space="0"/>
              <w:right w:val="single" w:color="auto" w:sz="4" w:space="0"/>
            </w:tcBorders>
            <w:noWrap/>
            <w:vAlign w:val="center"/>
          </w:tcPr>
          <w:p w14:paraId="456108C9">
            <w:pPr>
              <w:spacing w:after="0" w:line="240" w:lineRule="auto"/>
              <w:jc w:val="center"/>
              <w:rPr>
                <w:rFonts w:hint="eastAsia" w:ascii="黑体" w:hAnsi="黑体" w:eastAsia="黑体" w:cs="宋体"/>
                <w:sz w:val="18"/>
                <w:szCs w:val="18"/>
                <w:lang w:eastAsia="zh-CN"/>
              </w:rPr>
            </w:pPr>
            <w:r>
              <w:rPr>
                <w:rFonts w:ascii="黑体" w:hAnsi="黑体" w:eastAsia="黑体" w:cs="宋体"/>
                <w:sz w:val="18"/>
                <w:szCs w:val="18"/>
                <w:lang w:eastAsia="zh-CN"/>
              </w:rPr>
              <w:t>14</w:t>
            </w:r>
          </w:p>
        </w:tc>
        <w:tc>
          <w:tcPr>
            <w:tcW w:w="1301" w:type="pct"/>
            <w:tcBorders>
              <w:top w:val="nil"/>
              <w:left w:val="nil"/>
              <w:bottom w:val="single" w:color="auto" w:sz="4" w:space="0"/>
              <w:right w:val="single" w:color="auto" w:sz="4" w:space="0"/>
            </w:tcBorders>
            <w:noWrap/>
            <w:vAlign w:val="center"/>
          </w:tcPr>
          <w:p w14:paraId="369AD313">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东莞便利店仓物流中心</w:t>
            </w:r>
          </w:p>
        </w:tc>
        <w:tc>
          <w:tcPr>
            <w:tcW w:w="464" w:type="pct"/>
            <w:tcBorders>
              <w:top w:val="nil"/>
              <w:left w:val="nil"/>
              <w:bottom w:val="single" w:color="auto" w:sz="4" w:space="0"/>
              <w:right w:val="single" w:color="auto" w:sz="4" w:space="0"/>
            </w:tcBorders>
            <w:noWrap/>
            <w:vAlign w:val="center"/>
          </w:tcPr>
          <w:p w14:paraId="6CA04163">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19137</w:t>
            </w:r>
          </w:p>
        </w:tc>
        <w:tc>
          <w:tcPr>
            <w:tcW w:w="1580" w:type="pct"/>
            <w:tcBorders>
              <w:top w:val="nil"/>
              <w:left w:val="nil"/>
              <w:bottom w:val="single" w:color="auto" w:sz="4" w:space="0"/>
              <w:right w:val="single" w:color="auto" w:sz="4" w:space="0"/>
            </w:tcBorders>
            <w:vAlign w:val="center"/>
          </w:tcPr>
          <w:p w14:paraId="5AF969BA">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广东省东莞市茶山镇西湖东路冠惠百货西北(东莞茶山宝湾物流园4楼4-08库）</w:t>
            </w:r>
          </w:p>
        </w:tc>
        <w:tc>
          <w:tcPr>
            <w:tcW w:w="1301" w:type="pct"/>
            <w:tcBorders>
              <w:top w:val="nil"/>
              <w:left w:val="nil"/>
              <w:bottom w:val="single" w:color="auto" w:sz="4" w:space="0"/>
              <w:right w:val="single" w:color="auto" w:sz="4" w:space="0"/>
            </w:tcBorders>
            <w:noWrap/>
            <w:vAlign w:val="center"/>
          </w:tcPr>
          <w:p w14:paraId="2D59DAAA">
            <w:pPr>
              <w:spacing w:after="0" w:line="240" w:lineRule="auto"/>
              <w:jc w:val="center"/>
              <w:rPr>
                <w:rFonts w:hint="eastAsia" w:ascii="黑体" w:hAnsi="黑体" w:eastAsia="黑体" w:cs="宋体"/>
                <w:sz w:val="18"/>
                <w:szCs w:val="18"/>
                <w:lang w:eastAsia="zh-CN"/>
              </w:rPr>
            </w:pPr>
          </w:p>
        </w:tc>
      </w:tr>
      <w:tr w14:paraId="3102E43C">
        <w:tblPrEx>
          <w:tblCellMar>
            <w:top w:w="0" w:type="dxa"/>
            <w:left w:w="108" w:type="dxa"/>
            <w:bottom w:w="0" w:type="dxa"/>
            <w:right w:w="108" w:type="dxa"/>
          </w:tblCellMar>
        </w:tblPrEx>
        <w:trPr>
          <w:trHeight w:val="90" w:hRule="atLeast"/>
        </w:trPr>
        <w:tc>
          <w:tcPr>
            <w:tcW w:w="352" w:type="pct"/>
            <w:tcBorders>
              <w:top w:val="nil"/>
              <w:left w:val="single" w:color="auto" w:sz="4" w:space="0"/>
              <w:bottom w:val="single" w:color="auto" w:sz="4" w:space="0"/>
              <w:right w:val="single" w:color="auto" w:sz="4" w:space="0"/>
            </w:tcBorders>
            <w:noWrap/>
            <w:vAlign w:val="center"/>
          </w:tcPr>
          <w:p w14:paraId="3E2E03C8">
            <w:pPr>
              <w:spacing w:after="0" w:line="240" w:lineRule="auto"/>
              <w:jc w:val="center"/>
              <w:rPr>
                <w:rFonts w:hint="eastAsia" w:ascii="黑体" w:hAnsi="黑体" w:eastAsia="黑体" w:cs="宋体"/>
                <w:sz w:val="18"/>
                <w:szCs w:val="18"/>
                <w:lang w:eastAsia="zh-CN"/>
              </w:rPr>
            </w:pPr>
            <w:r>
              <w:rPr>
                <w:rFonts w:ascii="黑体" w:hAnsi="黑体" w:eastAsia="黑体" w:cs="宋体"/>
                <w:sz w:val="18"/>
                <w:szCs w:val="18"/>
                <w:lang w:eastAsia="zh-CN"/>
              </w:rPr>
              <w:t>15</w:t>
            </w:r>
          </w:p>
        </w:tc>
        <w:tc>
          <w:tcPr>
            <w:tcW w:w="1301" w:type="pct"/>
            <w:tcBorders>
              <w:top w:val="nil"/>
              <w:left w:val="nil"/>
              <w:bottom w:val="single" w:color="auto" w:sz="4" w:space="0"/>
              <w:right w:val="single" w:color="auto" w:sz="4" w:space="0"/>
            </w:tcBorders>
            <w:noWrap/>
            <w:vAlign w:val="center"/>
          </w:tcPr>
          <w:p w14:paraId="0653F197">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西安物流中心</w:t>
            </w:r>
          </w:p>
        </w:tc>
        <w:tc>
          <w:tcPr>
            <w:tcW w:w="464" w:type="pct"/>
            <w:tcBorders>
              <w:top w:val="nil"/>
              <w:left w:val="nil"/>
              <w:bottom w:val="single" w:color="auto" w:sz="4" w:space="0"/>
              <w:right w:val="single" w:color="auto" w:sz="4" w:space="0"/>
            </w:tcBorders>
            <w:noWrap/>
            <w:vAlign w:val="center"/>
          </w:tcPr>
          <w:p w14:paraId="5D67F0D7">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17223</w:t>
            </w:r>
          </w:p>
        </w:tc>
        <w:tc>
          <w:tcPr>
            <w:tcW w:w="1580" w:type="pct"/>
            <w:tcBorders>
              <w:top w:val="nil"/>
              <w:left w:val="nil"/>
              <w:bottom w:val="single" w:color="auto" w:sz="4" w:space="0"/>
              <w:right w:val="single" w:color="auto" w:sz="4" w:space="0"/>
            </w:tcBorders>
            <w:vAlign w:val="center"/>
          </w:tcPr>
          <w:p w14:paraId="778F50C7">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陕西省西安市临潼区海尔虚实网服务园（东门进三号库一层）</w:t>
            </w:r>
          </w:p>
        </w:tc>
        <w:tc>
          <w:tcPr>
            <w:tcW w:w="1301" w:type="pct"/>
            <w:tcBorders>
              <w:top w:val="nil"/>
              <w:left w:val="nil"/>
              <w:bottom w:val="single" w:color="auto" w:sz="4" w:space="0"/>
              <w:right w:val="single" w:color="auto" w:sz="4" w:space="0"/>
            </w:tcBorders>
            <w:noWrap/>
            <w:vAlign w:val="center"/>
          </w:tcPr>
          <w:p w14:paraId="501AD8FB">
            <w:pPr>
              <w:spacing w:after="0" w:line="240" w:lineRule="auto"/>
              <w:jc w:val="center"/>
              <w:rPr>
                <w:rFonts w:hint="eastAsia" w:ascii="黑体" w:hAnsi="黑体" w:eastAsia="黑体" w:cs="宋体"/>
                <w:sz w:val="18"/>
                <w:szCs w:val="18"/>
                <w:lang w:eastAsia="zh-CN"/>
              </w:rPr>
            </w:pPr>
          </w:p>
        </w:tc>
      </w:tr>
      <w:tr w14:paraId="11C32998">
        <w:tblPrEx>
          <w:tblCellMar>
            <w:top w:w="0" w:type="dxa"/>
            <w:left w:w="108" w:type="dxa"/>
            <w:bottom w:w="0" w:type="dxa"/>
            <w:right w:w="108" w:type="dxa"/>
          </w:tblCellMar>
        </w:tblPrEx>
        <w:trPr>
          <w:trHeight w:val="90" w:hRule="atLeast"/>
        </w:trPr>
        <w:tc>
          <w:tcPr>
            <w:tcW w:w="352" w:type="pct"/>
            <w:tcBorders>
              <w:top w:val="nil"/>
              <w:left w:val="single" w:color="auto" w:sz="4" w:space="0"/>
              <w:bottom w:val="single" w:color="auto" w:sz="4" w:space="0"/>
              <w:right w:val="single" w:color="auto" w:sz="4" w:space="0"/>
            </w:tcBorders>
            <w:noWrap/>
            <w:vAlign w:val="center"/>
          </w:tcPr>
          <w:p w14:paraId="56FA9D79">
            <w:pPr>
              <w:spacing w:after="0" w:line="240" w:lineRule="auto"/>
              <w:jc w:val="center"/>
              <w:rPr>
                <w:rFonts w:hint="eastAsia" w:ascii="黑体" w:hAnsi="黑体" w:eastAsia="黑体" w:cs="宋体"/>
                <w:sz w:val="18"/>
                <w:szCs w:val="18"/>
                <w:lang w:eastAsia="zh-CN"/>
              </w:rPr>
            </w:pPr>
            <w:r>
              <w:rPr>
                <w:rFonts w:ascii="黑体" w:hAnsi="黑体" w:eastAsia="黑体" w:cs="宋体"/>
                <w:sz w:val="18"/>
                <w:szCs w:val="18"/>
                <w:lang w:eastAsia="zh-CN"/>
              </w:rPr>
              <w:t>16</w:t>
            </w:r>
          </w:p>
        </w:tc>
        <w:tc>
          <w:tcPr>
            <w:tcW w:w="1301" w:type="pct"/>
            <w:tcBorders>
              <w:top w:val="nil"/>
              <w:left w:val="nil"/>
              <w:bottom w:val="single" w:color="auto" w:sz="4" w:space="0"/>
              <w:right w:val="single" w:color="auto" w:sz="4" w:space="0"/>
            </w:tcBorders>
            <w:noWrap/>
            <w:vAlign w:val="center"/>
          </w:tcPr>
          <w:p w14:paraId="67781654">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佛山便利店仓物流中心</w:t>
            </w:r>
          </w:p>
        </w:tc>
        <w:tc>
          <w:tcPr>
            <w:tcW w:w="464" w:type="pct"/>
            <w:tcBorders>
              <w:top w:val="nil"/>
              <w:left w:val="nil"/>
              <w:bottom w:val="single" w:color="auto" w:sz="4" w:space="0"/>
              <w:right w:val="single" w:color="auto" w:sz="4" w:space="0"/>
            </w:tcBorders>
            <w:noWrap/>
            <w:vAlign w:val="center"/>
          </w:tcPr>
          <w:p w14:paraId="04FD7986">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16274</w:t>
            </w:r>
          </w:p>
        </w:tc>
        <w:tc>
          <w:tcPr>
            <w:tcW w:w="1580" w:type="pct"/>
            <w:tcBorders>
              <w:top w:val="nil"/>
              <w:left w:val="nil"/>
              <w:bottom w:val="single" w:color="auto" w:sz="4" w:space="0"/>
              <w:right w:val="single" w:color="auto" w:sz="4" w:space="0"/>
            </w:tcBorders>
            <w:vAlign w:val="center"/>
          </w:tcPr>
          <w:p w14:paraId="0B2BB777">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广东省佛山市南海区大沥镇沥雅路101号华南（南海）海基大消费产业园2楼</w:t>
            </w:r>
          </w:p>
        </w:tc>
        <w:tc>
          <w:tcPr>
            <w:tcW w:w="1301" w:type="pct"/>
            <w:tcBorders>
              <w:top w:val="nil"/>
              <w:left w:val="nil"/>
              <w:bottom w:val="single" w:color="auto" w:sz="4" w:space="0"/>
              <w:right w:val="single" w:color="auto" w:sz="4" w:space="0"/>
            </w:tcBorders>
            <w:noWrap/>
            <w:vAlign w:val="center"/>
          </w:tcPr>
          <w:p w14:paraId="272A0309">
            <w:pPr>
              <w:spacing w:after="0" w:line="240" w:lineRule="auto"/>
              <w:jc w:val="center"/>
              <w:rPr>
                <w:rFonts w:hint="eastAsia" w:ascii="黑体" w:hAnsi="黑体" w:eastAsia="黑体" w:cs="宋体"/>
                <w:sz w:val="18"/>
                <w:szCs w:val="18"/>
                <w:lang w:eastAsia="zh-CN"/>
              </w:rPr>
            </w:pPr>
          </w:p>
        </w:tc>
      </w:tr>
      <w:tr w14:paraId="3B7A41F2">
        <w:tblPrEx>
          <w:tblCellMar>
            <w:top w:w="0" w:type="dxa"/>
            <w:left w:w="108" w:type="dxa"/>
            <w:bottom w:w="0" w:type="dxa"/>
            <w:right w:w="108" w:type="dxa"/>
          </w:tblCellMar>
        </w:tblPrEx>
        <w:trPr>
          <w:trHeight w:val="90" w:hRule="atLeast"/>
        </w:trPr>
        <w:tc>
          <w:tcPr>
            <w:tcW w:w="352" w:type="pct"/>
            <w:tcBorders>
              <w:top w:val="nil"/>
              <w:left w:val="single" w:color="auto" w:sz="4" w:space="0"/>
              <w:bottom w:val="single" w:color="auto" w:sz="4" w:space="0"/>
              <w:right w:val="single" w:color="auto" w:sz="4" w:space="0"/>
            </w:tcBorders>
            <w:noWrap/>
            <w:vAlign w:val="center"/>
          </w:tcPr>
          <w:p w14:paraId="071F5DFA">
            <w:pPr>
              <w:spacing w:after="0" w:line="240" w:lineRule="auto"/>
              <w:jc w:val="center"/>
              <w:rPr>
                <w:rFonts w:hint="eastAsia" w:ascii="黑体" w:hAnsi="黑体" w:eastAsia="黑体" w:cs="宋体"/>
                <w:sz w:val="18"/>
                <w:szCs w:val="18"/>
                <w:lang w:eastAsia="zh-CN"/>
              </w:rPr>
            </w:pPr>
            <w:r>
              <w:rPr>
                <w:rFonts w:ascii="黑体" w:hAnsi="黑体" w:eastAsia="黑体" w:cs="宋体"/>
                <w:sz w:val="18"/>
                <w:szCs w:val="18"/>
                <w:lang w:eastAsia="zh-CN"/>
              </w:rPr>
              <w:t>17</w:t>
            </w:r>
          </w:p>
        </w:tc>
        <w:tc>
          <w:tcPr>
            <w:tcW w:w="1301" w:type="pct"/>
            <w:tcBorders>
              <w:top w:val="nil"/>
              <w:left w:val="nil"/>
              <w:bottom w:val="single" w:color="auto" w:sz="4" w:space="0"/>
              <w:right w:val="single" w:color="auto" w:sz="4" w:space="0"/>
            </w:tcBorders>
            <w:noWrap/>
            <w:vAlign w:val="center"/>
          </w:tcPr>
          <w:p w14:paraId="5964E44F">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海口2仓物流中心</w:t>
            </w:r>
          </w:p>
        </w:tc>
        <w:tc>
          <w:tcPr>
            <w:tcW w:w="464" w:type="pct"/>
            <w:tcBorders>
              <w:top w:val="nil"/>
              <w:left w:val="nil"/>
              <w:bottom w:val="single" w:color="auto" w:sz="4" w:space="0"/>
              <w:right w:val="single" w:color="auto" w:sz="4" w:space="0"/>
            </w:tcBorders>
            <w:noWrap/>
            <w:vAlign w:val="center"/>
          </w:tcPr>
          <w:p w14:paraId="0E979626">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23640</w:t>
            </w:r>
          </w:p>
        </w:tc>
        <w:tc>
          <w:tcPr>
            <w:tcW w:w="1580" w:type="pct"/>
            <w:tcBorders>
              <w:top w:val="nil"/>
              <w:left w:val="nil"/>
              <w:bottom w:val="single" w:color="auto" w:sz="4" w:space="0"/>
              <w:right w:val="single" w:color="auto" w:sz="4" w:space="0"/>
            </w:tcBorders>
            <w:vAlign w:val="center"/>
          </w:tcPr>
          <w:p w14:paraId="6867F569">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澄迈县大丰镇金马大道818号普洛斯海南电商物流园</w:t>
            </w:r>
          </w:p>
        </w:tc>
        <w:tc>
          <w:tcPr>
            <w:tcW w:w="1301" w:type="pct"/>
            <w:tcBorders>
              <w:top w:val="nil"/>
              <w:left w:val="nil"/>
              <w:bottom w:val="single" w:color="auto" w:sz="4" w:space="0"/>
              <w:right w:val="single" w:color="auto" w:sz="4" w:space="0"/>
            </w:tcBorders>
            <w:noWrap/>
            <w:vAlign w:val="center"/>
          </w:tcPr>
          <w:p w14:paraId="773EB387">
            <w:pPr>
              <w:spacing w:after="0" w:line="240" w:lineRule="auto"/>
              <w:jc w:val="center"/>
              <w:rPr>
                <w:rFonts w:hint="eastAsia" w:ascii="黑体" w:hAnsi="黑体" w:eastAsia="黑体" w:cs="宋体"/>
                <w:sz w:val="18"/>
                <w:szCs w:val="18"/>
                <w:lang w:eastAsia="zh-CN"/>
              </w:rPr>
            </w:pPr>
          </w:p>
        </w:tc>
      </w:tr>
      <w:tr w14:paraId="4B64F2B0">
        <w:tblPrEx>
          <w:tblCellMar>
            <w:top w:w="0" w:type="dxa"/>
            <w:left w:w="108" w:type="dxa"/>
            <w:bottom w:w="0" w:type="dxa"/>
            <w:right w:w="108" w:type="dxa"/>
          </w:tblCellMar>
        </w:tblPrEx>
        <w:trPr>
          <w:trHeight w:val="90" w:hRule="atLeast"/>
        </w:trPr>
        <w:tc>
          <w:tcPr>
            <w:tcW w:w="352" w:type="pct"/>
            <w:tcBorders>
              <w:top w:val="nil"/>
              <w:left w:val="single" w:color="auto" w:sz="4" w:space="0"/>
              <w:bottom w:val="single" w:color="auto" w:sz="4" w:space="0"/>
              <w:right w:val="single" w:color="auto" w:sz="4" w:space="0"/>
            </w:tcBorders>
            <w:noWrap/>
            <w:vAlign w:val="center"/>
          </w:tcPr>
          <w:p w14:paraId="5C40BD26">
            <w:pPr>
              <w:spacing w:after="0" w:line="240" w:lineRule="auto"/>
              <w:jc w:val="center"/>
              <w:rPr>
                <w:rFonts w:hint="eastAsia" w:ascii="黑体" w:hAnsi="黑体" w:eastAsia="黑体" w:cs="宋体"/>
                <w:sz w:val="18"/>
                <w:szCs w:val="18"/>
                <w:lang w:eastAsia="zh-CN"/>
              </w:rPr>
            </w:pPr>
            <w:r>
              <w:rPr>
                <w:rFonts w:ascii="黑体" w:hAnsi="黑体" w:eastAsia="黑体" w:cs="宋体"/>
                <w:sz w:val="18"/>
                <w:szCs w:val="18"/>
                <w:lang w:eastAsia="zh-CN"/>
              </w:rPr>
              <w:t>18</w:t>
            </w:r>
          </w:p>
        </w:tc>
        <w:tc>
          <w:tcPr>
            <w:tcW w:w="1301" w:type="pct"/>
            <w:tcBorders>
              <w:top w:val="nil"/>
              <w:left w:val="nil"/>
              <w:bottom w:val="single" w:color="auto" w:sz="4" w:space="0"/>
              <w:right w:val="single" w:color="auto" w:sz="4" w:space="0"/>
            </w:tcBorders>
            <w:noWrap/>
            <w:vAlign w:val="center"/>
          </w:tcPr>
          <w:p w14:paraId="3AA54BA6">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定西临洮物流中心</w:t>
            </w:r>
          </w:p>
        </w:tc>
        <w:tc>
          <w:tcPr>
            <w:tcW w:w="464" w:type="pct"/>
            <w:tcBorders>
              <w:top w:val="nil"/>
              <w:left w:val="nil"/>
              <w:bottom w:val="single" w:color="auto" w:sz="4" w:space="0"/>
              <w:right w:val="single" w:color="auto" w:sz="4" w:space="0"/>
            </w:tcBorders>
            <w:noWrap/>
            <w:vAlign w:val="center"/>
          </w:tcPr>
          <w:p w14:paraId="7253E7E8">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17196</w:t>
            </w:r>
          </w:p>
        </w:tc>
        <w:tc>
          <w:tcPr>
            <w:tcW w:w="1580" w:type="pct"/>
            <w:tcBorders>
              <w:top w:val="nil"/>
              <w:left w:val="nil"/>
              <w:bottom w:val="single" w:color="auto" w:sz="4" w:space="0"/>
              <w:right w:val="single" w:color="auto" w:sz="4" w:space="0"/>
            </w:tcBorders>
            <w:vAlign w:val="center"/>
          </w:tcPr>
          <w:p w14:paraId="17F4AFDC">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甘肃省定西市临洮县中铺镇日日顺智慧物流产业园1号库（甘肃省定</w:t>
            </w:r>
            <w:r>
              <w:rPr>
                <w:rFonts w:hint="eastAsia" w:ascii="黑体" w:hAnsi="黑体" w:eastAsia="黑体" w:cs="宋体"/>
                <w:sz w:val="18"/>
                <w:szCs w:val="18"/>
                <w:lang w:eastAsia="zh-CN"/>
              </w:rPr>
              <w:br w:type="textWrapping"/>
            </w:r>
            <w:r>
              <w:rPr>
                <w:rFonts w:hint="eastAsia" w:ascii="黑体" w:hAnsi="黑体" w:eastAsia="黑体" w:cs="宋体"/>
                <w:sz w:val="18"/>
                <w:szCs w:val="18"/>
                <w:lang w:eastAsia="zh-CN"/>
              </w:rPr>
              <w:t>西市临洮县中铺镇开发区管委会西对面）</w:t>
            </w:r>
          </w:p>
        </w:tc>
        <w:tc>
          <w:tcPr>
            <w:tcW w:w="1301" w:type="pct"/>
            <w:tcBorders>
              <w:top w:val="nil"/>
              <w:left w:val="nil"/>
              <w:bottom w:val="single" w:color="auto" w:sz="4" w:space="0"/>
              <w:right w:val="single" w:color="auto" w:sz="4" w:space="0"/>
            </w:tcBorders>
            <w:noWrap/>
            <w:vAlign w:val="center"/>
          </w:tcPr>
          <w:p w14:paraId="210B5913">
            <w:pPr>
              <w:spacing w:after="0" w:line="240" w:lineRule="auto"/>
              <w:jc w:val="center"/>
              <w:rPr>
                <w:rFonts w:hint="eastAsia" w:ascii="黑体" w:hAnsi="黑体" w:eastAsia="黑体" w:cs="宋体"/>
                <w:sz w:val="18"/>
                <w:szCs w:val="18"/>
                <w:lang w:eastAsia="zh-CN"/>
              </w:rPr>
            </w:pPr>
          </w:p>
        </w:tc>
      </w:tr>
      <w:tr w14:paraId="72EA3E65">
        <w:tblPrEx>
          <w:tblCellMar>
            <w:top w:w="0" w:type="dxa"/>
            <w:left w:w="108" w:type="dxa"/>
            <w:bottom w:w="0" w:type="dxa"/>
            <w:right w:w="108" w:type="dxa"/>
          </w:tblCellMar>
        </w:tblPrEx>
        <w:trPr>
          <w:trHeight w:val="90" w:hRule="atLeast"/>
        </w:trPr>
        <w:tc>
          <w:tcPr>
            <w:tcW w:w="352" w:type="pct"/>
            <w:tcBorders>
              <w:top w:val="nil"/>
              <w:left w:val="single" w:color="auto" w:sz="4" w:space="0"/>
              <w:bottom w:val="single" w:color="auto" w:sz="4" w:space="0"/>
              <w:right w:val="single" w:color="auto" w:sz="4" w:space="0"/>
            </w:tcBorders>
            <w:noWrap/>
            <w:vAlign w:val="center"/>
          </w:tcPr>
          <w:p w14:paraId="7ABF1A08">
            <w:pPr>
              <w:spacing w:after="0" w:line="240" w:lineRule="auto"/>
              <w:jc w:val="center"/>
              <w:rPr>
                <w:rFonts w:hint="eastAsia" w:ascii="黑体" w:hAnsi="黑体" w:eastAsia="黑体" w:cs="宋体"/>
                <w:sz w:val="18"/>
                <w:szCs w:val="18"/>
                <w:lang w:eastAsia="zh-CN"/>
              </w:rPr>
            </w:pPr>
            <w:r>
              <w:rPr>
                <w:rFonts w:ascii="黑体" w:hAnsi="黑体" w:eastAsia="黑体" w:cs="宋体"/>
                <w:sz w:val="18"/>
                <w:szCs w:val="18"/>
                <w:lang w:eastAsia="zh-CN"/>
              </w:rPr>
              <w:t>19</w:t>
            </w:r>
          </w:p>
        </w:tc>
        <w:tc>
          <w:tcPr>
            <w:tcW w:w="1301" w:type="pct"/>
            <w:tcBorders>
              <w:top w:val="nil"/>
              <w:left w:val="nil"/>
              <w:bottom w:val="single" w:color="auto" w:sz="4" w:space="0"/>
              <w:right w:val="single" w:color="auto" w:sz="4" w:space="0"/>
            </w:tcBorders>
            <w:noWrap/>
            <w:vAlign w:val="center"/>
          </w:tcPr>
          <w:p w14:paraId="1056ABC8">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宜宾兴文物流中心</w:t>
            </w:r>
          </w:p>
        </w:tc>
        <w:tc>
          <w:tcPr>
            <w:tcW w:w="464" w:type="pct"/>
            <w:tcBorders>
              <w:top w:val="nil"/>
              <w:left w:val="nil"/>
              <w:bottom w:val="single" w:color="auto" w:sz="4" w:space="0"/>
              <w:right w:val="single" w:color="auto" w:sz="4" w:space="0"/>
            </w:tcBorders>
            <w:noWrap/>
            <w:vAlign w:val="center"/>
          </w:tcPr>
          <w:p w14:paraId="6808C955">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20000</w:t>
            </w:r>
          </w:p>
        </w:tc>
        <w:tc>
          <w:tcPr>
            <w:tcW w:w="1580" w:type="pct"/>
            <w:tcBorders>
              <w:top w:val="nil"/>
              <w:left w:val="nil"/>
              <w:bottom w:val="single" w:color="auto" w:sz="4" w:space="0"/>
              <w:right w:val="single" w:color="auto" w:sz="4" w:space="0"/>
            </w:tcBorders>
            <w:vAlign w:val="center"/>
          </w:tcPr>
          <w:p w14:paraId="3420AC21">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四川省宜宾市兴文县古宋镇547国道和润城南首府东南50米（古宜高速北）</w:t>
            </w:r>
          </w:p>
        </w:tc>
        <w:tc>
          <w:tcPr>
            <w:tcW w:w="1301" w:type="pct"/>
            <w:tcBorders>
              <w:top w:val="nil"/>
              <w:left w:val="nil"/>
              <w:bottom w:val="single" w:color="auto" w:sz="4" w:space="0"/>
              <w:right w:val="single" w:color="auto" w:sz="4" w:space="0"/>
            </w:tcBorders>
            <w:noWrap/>
            <w:vAlign w:val="center"/>
          </w:tcPr>
          <w:p w14:paraId="64783731">
            <w:pPr>
              <w:spacing w:after="0" w:line="240" w:lineRule="auto"/>
              <w:jc w:val="center"/>
              <w:rPr>
                <w:rFonts w:hint="eastAsia" w:ascii="黑体" w:hAnsi="黑体" w:eastAsia="黑体" w:cs="宋体"/>
                <w:sz w:val="18"/>
                <w:szCs w:val="18"/>
                <w:lang w:eastAsia="zh-CN"/>
              </w:rPr>
            </w:pPr>
          </w:p>
        </w:tc>
      </w:tr>
      <w:tr w14:paraId="0301603E">
        <w:tblPrEx>
          <w:tblCellMar>
            <w:top w:w="0" w:type="dxa"/>
            <w:left w:w="108" w:type="dxa"/>
            <w:bottom w:w="0" w:type="dxa"/>
            <w:right w:w="108" w:type="dxa"/>
          </w:tblCellMar>
        </w:tblPrEx>
        <w:trPr>
          <w:trHeight w:val="90" w:hRule="atLeast"/>
        </w:trPr>
        <w:tc>
          <w:tcPr>
            <w:tcW w:w="352" w:type="pct"/>
            <w:tcBorders>
              <w:top w:val="nil"/>
              <w:left w:val="single" w:color="auto" w:sz="4" w:space="0"/>
              <w:bottom w:val="single" w:color="auto" w:sz="4" w:space="0"/>
              <w:right w:val="single" w:color="auto" w:sz="4" w:space="0"/>
            </w:tcBorders>
            <w:noWrap/>
            <w:vAlign w:val="center"/>
          </w:tcPr>
          <w:p w14:paraId="1F68A29A">
            <w:pPr>
              <w:spacing w:after="0" w:line="240" w:lineRule="auto"/>
              <w:jc w:val="center"/>
              <w:rPr>
                <w:rFonts w:hint="eastAsia" w:ascii="黑体" w:hAnsi="黑体" w:eastAsia="黑体" w:cs="宋体"/>
                <w:sz w:val="18"/>
                <w:szCs w:val="18"/>
                <w:lang w:eastAsia="zh-CN"/>
              </w:rPr>
            </w:pPr>
            <w:r>
              <w:rPr>
                <w:rFonts w:ascii="黑体" w:hAnsi="黑体" w:eastAsia="黑体" w:cs="宋体"/>
                <w:sz w:val="18"/>
                <w:szCs w:val="18"/>
                <w:lang w:eastAsia="zh-CN"/>
              </w:rPr>
              <w:t>20</w:t>
            </w:r>
          </w:p>
        </w:tc>
        <w:tc>
          <w:tcPr>
            <w:tcW w:w="1301" w:type="pct"/>
            <w:tcBorders>
              <w:top w:val="nil"/>
              <w:left w:val="nil"/>
              <w:bottom w:val="single" w:color="auto" w:sz="4" w:space="0"/>
              <w:right w:val="single" w:color="auto" w:sz="4" w:space="0"/>
            </w:tcBorders>
            <w:noWrap/>
            <w:vAlign w:val="center"/>
          </w:tcPr>
          <w:p w14:paraId="0C32B5CE">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达州达川物流中心</w:t>
            </w:r>
          </w:p>
        </w:tc>
        <w:tc>
          <w:tcPr>
            <w:tcW w:w="464" w:type="pct"/>
            <w:tcBorders>
              <w:top w:val="nil"/>
              <w:left w:val="nil"/>
              <w:bottom w:val="single" w:color="auto" w:sz="4" w:space="0"/>
              <w:right w:val="single" w:color="auto" w:sz="4" w:space="0"/>
            </w:tcBorders>
            <w:noWrap/>
            <w:vAlign w:val="center"/>
          </w:tcPr>
          <w:p w14:paraId="10755ABC">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15012</w:t>
            </w:r>
          </w:p>
        </w:tc>
        <w:tc>
          <w:tcPr>
            <w:tcW w:w="1580" w:type="pct"/>
            <w:tcBorders>
              <w:top w:val="nil"/>
              <w:left w:val="nil"/>
              <w:bottom w:val="single" w:color="auto" w:sz="4" w:space="0"/>
              <w:right w:val="single" w:color="auto" w:sz="4" w:space="0"/>
            </w:tcBorders>
            <w:vAlign w:val="center"/>
          </w:tcPr>
          <w:p w14:paraId="012688EF">
            <w:pPr>
              <w:spacing w:after="0" w:line="240" w:lineRule="auto"/>
              <w:jc w:val="center"/>
              <w:rPr>
                <w:rFonts w:hint="eastAsia" w:ascii="黑体" w:hAnsi="黑体" w:eastAsia="黑体" w:cs="宋体"/>
                <w:sz w:val="18"/>
                <w:szCs w:val="18"/>
                <w:lang w:eastAsia="zh-CN"/>
              </w:rPr>
            </w:pPr>
            <w:r>
              <w:rPr>
                <w:rFonts w:hint="eastAsia" w:ascii="黑体" w:hAnsi="黑体" w:eastAsia="黑体" w:cs="宋体"/>
                <w:sz w:val="18"/>
                <w:szCs w:val="18"/>
                <w:lang w:eastAsia="zh-CN"/>
              </w:rPr>
              <w:t>四川省达州市达川区河市大道南一段中交一航局西南公司</w:t>
            </w:r>
          </w:p>
        </w:tc>
        <w:tc>
          <w:tcPr>
            <w:tcW w:w="1301" w:type="pct"/>
            <w:tcBorders>
              <w:top w:val="nil"/>
              <w:left w:val="nil"/>
              <w:bottom w:val="single" w:color="auto" w:sz="4" w:space="0"/>
              <w:right w:val="single" w:color="auto" w:sz="4" w:space="0"/>
            </w:tcBorders>
            <w:noWrap/>
            <w:vAlign w:val="center"/>
          </w:tcPr>
          <w:p w14:paraId="3E5FF9DD">
            <w:pPr>
              <w:spacing w:after="0" w:line="240" w:lineRule="auto"/>
              <w:jc w:val="center"/>
              <w:rPr>
                <w:rFonts w:hint="eastAsia" w:ascii="黑体" w:hAnsi="黑体" w:eastAsia="黑体" w:cs="宋体"/>
                <w:sz w:val="18"/>
                <w:szCs w:val="18"/>
                <w:lang w:eastAsia="zh-CN"/>
              </w:rPr>
            </w:pPr>
          </w:p>
        </w:tc>
      </w:tr>
    </w:tbl>
    <w:p w14:paraId="66D5D801">
      <w:pPr>
        <w:spacing w:after="0" w:line="360" w:lineRule="auto"/>
        <w:jc w:val="both"/>
        <w:rPr>
          <w:rFonts w:eastAsia="宋体"/>
          <w:lang w:eastAsia="zh-CN"/>
        </w:rPr>
      </w:pPr>
    </w:p>
    <w:sectPr>
      <w:pgSz w:w="11906" w:h="16838"/>
      <w:pgMar w:top="1417" w:right="1417" w:bottom="1417"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1CB10B"/>
    <w:multiLevelType w:val="singleLevel"/>
    <w:tmpl w:val="951CB10B"/>
    <w:lvl w:ilvl="0" w:tentative="0">
      <w:start w:val="1"/>
      <w:numFmt w:val="chineseCounting"/>
      <w:suff w:val="nothing"/>
      <w:lvlText w:val="%1、"/>
      <w:lvlJc w:val="left"/>
      <w:rPr>
        <w:rFonts w:hint="eastAsia"/>
      </w:rPr>
    </w:lvl>
  </w:abstractNum>
  <w:abstractNum w:abstractNumId="1">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2606A"/>
    <w:rsid w:val="00034616"/>
    <w:rsid w:val="0006063C"/>
    <w:rsid w:val="0012255A"/>
    <w:rsid w:val="0015074B"/>
    <w:rsid w:val="0018502B"/>
    <w:rsid w:val="0027128C"/>
    <w:rsid w:val="0029639D"/>
    <w:rsid w:val="003076BA"/>
    <w:rsid w:val="00314520"/>
    <w:rsid w:val="00326F90"/>
    <w:rsid w:val="0043016A"/>
    <w:rsid w:val="00471109"/>
    <w:rsid w:val="005F0785"/>
    <w:rsid w:val="00624C39"/>
    <w:rsid w:val="0064132F"/>
    <w:rsid w:val="006A2ADD"/>
    <w:rsid w:val="006B1F34"/>
    <w:rsid w:val="006F41DE"/>
    <w:rsid w:val="00701D86"/>
    <w:rsid w:val="008109FF"/>
    <w:rsid w:val="008620AB"/>
    <w:rsid w:val="008653BD"/>
    <w:rsid w:val="00AA1D8D"/>
    <w:rsid w:val="00B47730"/>
    <w:rsid w:val="00B97AE9"/>
    <w:rsid w:val="00BB6355"/>
    <w:rsid w:val="00C2328E"/>
    <w:rsid w:val="00CB0664"/>
    <w:rsid w:val="00D339E6"/>
    <w:rsid w:val="00EC358C"/>
    <w:rsid w:val="00F14EF8"/>
    <w:rsid w:val="00F56104"/>
    <w:rsid w:val="00FC693F"/>
    <w:rsid w:val="00FF3898"/>
    <w:rsid w:val="036C34DA"/>
    <w:rsid w:val="05903F4C"/>
    <w:rsid w:val="059C1B64"/>
    <w:rsid w:val="06BD30DB"/>
    <w:rsid w:val="0A8C0EFD"/>
    <w:rsid w:val="0C73763D"/>
    <w:rsid w:val="10A51DDA"/>
    <w:rsid w:val="110A4333"/>
    <w:rsid w:val="11A976A8"/>
    <w:rsid w:val="152754B3"/>
    <w:rsid w:val="16B32D77"/>
    <w:rsid w:val="1FFB1A16"/>
    <w:rsid w:val="221072CF"/>
    <w:rsid w:val="23251A24"/>
    <w:rsid w:val="26CA0394"/>
    <w:rsid w:val="29310257"/>
    <w:rsid w:val="29E03A2B"/>
    <w:rsid w:val="2D5925B3"/>
    <w:rsid w:val="2D941EE3"/>
    <w:rsid w:val="34763909"/>
    <w:rsid w:val="37F039D3"/>
    <w:rsid w:val="38BC166C"/>
    <w:rsid w:val="4043001D"/>
    <w:rsid w:val="4114428E"/>
    <w:rsid w:val="52C379D3"/>
    <w:rsid w:val="54A13328"/>
    <w:rsid w:val="568B6949"/>
    <w:rsid w:val="56FB3ACE"/>
    <w:rsid w:val="577E46FF"/>
    <w:rsid w:val="5AEE2D2F"/>
    <w:rsid w:val="65E10333"/>
    <w:rsid w:val="6A1F1AE0"/>
    <w:rsid w:val="6C353187"/>
    <w:rsid w:val="6D94212F"/>
    <w:rsid w:val="71724535"/>
    <w:rsid w:val="72D134DE"/>
    <w:rsid w:val="74850A24"/>
    <w:rsid w:val="786E67FE"/>
    <w:rsid w:val="79784C56"/>
    <w:rsid w:val="7A991B9C"/>
    <w:rsid w:val="7E3C2153"/>
    <w:rsid w:val="7E851D4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41"/>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2"/>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3"/>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3"/>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4"/>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5"/>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6"/>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7"/>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8"/>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4">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2">
    <w:name w:val="macro"/>
    <w:link w:val="150"/>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9"/>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7"/>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Date"/>
    <w:basedOn w:val="1"/>
    <w:next w:val="1"/>
    <w:link w:val="167"/>
    <w:semiHidden/>
    <w:unhideWhenUsed/>
    <w:qFormat/>
    <w:uiPriority w:val="99"/>
    <w:pPr>
      <w:ind w:left="100" w:leftChars="2500"/>
    </w:pPr>
  </w:style>
  <w:style w:type="paragraph" w:styleId="25">
    <w:name w:val="footer"/>
    <w:basedOn w:val="1"/>
    <w:link w:val="139"/>
    <w:unhideWhenUsed/>
    <w:qFormat/>
    <w:uiPriority w:val="99"/>
    <w:pPr>
      <w:tabs>
        <w:tab w:val="center" w:pos="4680"/>
        <w:tab w:val="right" w:pos="9360"/>
      </w:tabs>
      <w:spacing w:after="0" w:line="240" w:lineRule="auto"/>
    </w:pPr>
  </w:style>
  <w:style w:type="paragraph" w:styleId="26">
    <w:name w:val="header"/>
    <w:basedOn w:val="1"/>
    <w:link w:val="138"/>
    <w:unhideWhenUsed/>
    <w:qFormat/>
    <w:uiPriority w:val="99"/>
    <w:pPr>
      <w:tabs>
        <w:tab w:val="center" w:pos="4680"/>
        <w:tab w:val="right" w:pos="9360"/>
      </w:tabs>
      <w:spacing w:after="0" w:line="240" w:lineRule="auto"/>
    </w:pPr>
  </w:style>
  <w:style w:type="paragraph" w:styleId="27">
    <w:name w:val="Subtitle"/>
    <w:basedOn w:val="1"/>
    <w:next w:val="1"/>
    <w:link w:val="145"/>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Body Text 2"/>
    <w:basedOn w:val="1"/>
    <w:link w:val="148"/>
    <w:unhideWhenUsed/>
    <w:qFormat/>
    <w:uiPriority w:val="99"/>
    <w:pPr>
      <w:spacing w:after="120" w:line="480" w:lineRule="auto"/>
    </w:pPr>
  </w:style>
  <w:style w:type="paragraph" w:styleId="30">
    <w:name w:val="List Continue 2"/>
    <w:basedOn w:val="1"/>
    <w:unhideWhenUsed/>
    <w:qFormat/>
    <w:uiPriority w:val="99"/>
    <w:pPr>
      <w:spacing w:after="120"/>
      <w:ind w:left="720"/>
      <w:contextualSpacing/>
    </w:pPr>
  </w:style>
  <w:style w:type="paragraph" w:styleId="31">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paragraph" w:styleId="32">
    <w:name w:val="List Continue 3"/>
    <w:basedOn w:val="1"/>
    <w:unhideWhenUsed/>
    <w:qFormat/>
    <w:uiPriority w:val="99"/>
    <w:pPr>
      <w:spacing w:after="120"/>
      <w:ind w:left="1080"/>
      <w:contextualSpacing/>
    </w:pPr>
  </w:style>
  <w:style w:type="paragraph" w:styleId="33">
    <w:name w:val="Title"/>
    <w:basedOn w:val="1"/>
    <w:next w:val="1"/>
    <w:link w:val="144"/>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5">
    <w:name w:val="Table Grid"/>
    <w:basedOn w:val="3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6">
    <w:name w:val="Light Shading"/>
    <w:basedOn w:val="34"/>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7">
    <w:name w:val="Light Shading Accent 1"/>
    <w:basedOn w:val="34"/>
    <w:qFormat/>
    <w:uiPriority w:val="60"/>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8">
    <w:name w:val="Light Shading Accent 2"/>
    <w:basedOn w:val="34"/>
    <w:qFormat/>
    <w:uiPriority w:val="60"/>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9">
    <w:name w:val="Light Shading Accent 3"/>
    <w:basedOn w:val="34"/>
    <w:qFormat/>
    <w:uiPriority w:val="60"/>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34"/>
    <w:qFormat/>
    <w:uiPriority w:val="60"/>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1">
    <w:name w:val="Light Shading Accent 5"/>
    <w:basedOn w:val="34"/>
    <w:qFormat/>
    <w:uiPriority w:val="60"/>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2">
    <w:name w:val="Light Shading Accent 6"/>
    <w:basedOn w:val="34"/>
    <w:qFormat/>
    <w:uiPriority w:val="60"/>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3">
    <w:name w:val="Light List"/>
    <w:basedOn w:val="34"/>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4">
    <w:name w:val="Light List Accent 1"/>
    <w:basedOn w:val="34"/>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5">
    <w:name w:val="Light List Accent 2"/>
    <w:basedOn w:val="34"/>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6">
    <w:name w:val="Light List Accent 3"/>
    <w:basedOn w:val="34"/>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7">
    <w:name w:val="Light List Accent 4"/>
    <w:basedOn w:val="34"/>
    <w:qFormat/>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8">
    <w:name w:val="Light List Accent 5"/>
    <w:basedOn w:val="34"/>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9">
    <w:name w:val="Light List Accent 6"/>
    <w:basedOn w:val="34"/>
    <w:qFormat/>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0">
    <w:name w:val="Light Grid"/>
    <w:basedOn w:val="34"/>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1">
    <w:name w:val="Light Grid Accent 1"/>
    <w:basedOn w:val="34"/>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2">
    <w:name w:val="Light Grid Accent 2"/>
    <w:basedOn w:val="34"/>
    <w:qFormat/>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3">
    <w:name w:val="Light Grid Accent 3"/>
    <w:basedOn w:val="34"/>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4">
    <w:name w:val="Light Grid Accent 4"/>
    <w:basedOn w:val="34"/>
    <w:qFormat/>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5">
    <w:name w:val="Light Grid Accent 5"/>
    <w:basedOn w:val="34"/>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6">
    <w:name w:val="Light Grid Accent 6"/>
    <w:basedOn w:val="34"/>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7">
    <w:name w:val="Medium Shading 1"/>
    <w:basedOn w:val="34"/>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8">
    <w:name w:val="Medium Shading 1 Accent 1"/>
    <w:basedOn w:val="34"/>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9">
    <w:name w:val="Medium Shading 1 Accent 2"/>
    <w:basedOn w:val="34"/>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0">
    <w:name w:val="Medium Shading 1 Accent 3"/>
    <w:basedOn w:val="34"/>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1">
    <w:name w:val="Medium Shading 1 Accent 4"/>
    <w:basedOn w:val="34"/>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2">
    <w:name w:val="Medium Shading 1 Accent 5"/>
    <w:basedOn w:val="34"/>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3">
    <w:name w:val="Medium Shading 1 Accent 6"/>
    <w:basedOn w:val="34"/>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4">
    <w:name w:val="Medium Shading 2"/>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1"/>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2"/>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3"/>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4"/>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5"/>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6"/>
    <w:basedOn w:val="34"/>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List 1"/>
    <w:basedOn w:val="34"/>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2">
    <w:name w:val="Medium List 1 Accent 1"/>
    <w:basedOn w:val="34"/>
    <w:qFormat/>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3">
    <w:name w:val="Medium List 1 Accent 2"/>
    <w:basedOn w:val="34"/>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4">
    <w:name w:val="Medium List 1 Accent 3"/>
    <w:basedOn w:val="34"/>
    <w:qFormat/>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5">
    <w:name w:val="Medium List 1 Accent 4"/>
    <w:basedOn w:val="34"/>
    <w:qFormat/>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6">
    <w:name w:val="Medium List 1 Accent 5"/>
    <w:basedOn w:val="34"/>
    <w:qFormat/>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7">
    <w:name w:val="Medium List 1 Accent 6"/>
    <w:basedOn w:val="34"/>
    <w:qFormat/>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8">
    <w:name w:val="Medium List 2"/>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1"/>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2"/>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3"/>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4"/>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5"/>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6"/>
    <w:basedOn w:val="34"/>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Grid 1"/>
    <w:basedOn w:val="34"/>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6">
    <w:name w:val="Medium Grid 1 Accent 1"/>
    <w:basedOn w:val="34"/>
    <w:qFormat/>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7">
    <w:name w:val="Medium Grid 1 Accent 2"/>
    <w:basedOn w:val="34"/>
    <w:qFormat/>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8">
    <w:name w:val="Medium Grid 1 Accent 3"/>
    <w:basedOn w:val="34"/>
    <w:qFormat/>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9">
    <w:name w:val="Medium Grid 1 Accent 4"/>
    <w:basedOn w:val="34"/>
    <w:qFormat/>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0">
    <w:name w:val="Medium Grid 1 Accent 5"/>
    <w:basedOn w:val="34"/>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1">
    <w:name w:val="Medium Grid 1 Accent 6"/>
    <w:basedOn w:val="34"/>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2">
    <w:name w:val="Medium Grid 2"/>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3">
    <w:name w:val="Medium Grid 2 Accent 1"/>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4">
    <w:name w:val="Medium Grid 2 Accent 2"/>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5">
    <w:name w:val="Medium Grid 2 Accent 3"/>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6">
    <w:name w:val="Medium Grid 2 Accent 4"/>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7">
    <w:name w:val="Medium Grid 2 Accent 5"/>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8">
    <w:name w:val="Medium Grid 2 Accent 6"/>
    <w:basedOn w:val="34"/>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9">
    <w:name w:val="Medium Grid 3"/>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0">
    <w:name w:val="Medium Grid 3 Accent 1"/>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1">
    <w:name w:val="Medium Grid 3 Accent 2"/>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2">
    <w:name w:val="Medium Grid 3 Accent 3"/>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3">
    <w:name w:val="Medium Grid 3 Accent 4"/>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4">
    <w:name w:val="Medium Grid 3 Accent 5"/>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5">
    <w:name w:val="Medium Grid 3 Accent 6"/>
    <w:basedOn w:val="34"/>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6">
    <w:name w:val="Dark List"/>
    <w:basedOn w:val="34"/>
    <w:qFormat/>
    <w:uiPriority w:val="70"/>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7">
    <w:name w:val="Dark List Accent 1"/>
    <w:basedOn w:val="34"/>
    <w:qFormat/>
    <w:uiPriority w:val="70"/>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8">
    <w:name w:val="Dark List Accent 2"/>
    <w:basedOn w:val="34"/>
    <w:qFormat/>
    <w:uiPriority w:val="70"/>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9">
    <w:name w:val="Dark List Accent 3"/>
    <w:basedOn w:val="34"/>
    <w:qFormat/>
    <w:uiPriority w:val="70"/>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0">
    <w:name w:val="Dark List Accent 4"/>
    <w:basedOn w:val="34"/>
    <w:qFormat/>
    <w:uiPriority w:val="70"/>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1">
    <w:name w:val="Dark List Accent 5"/>
    <w:basedOn w:val="34"/>
    <w:qFormat/>
    <w:uiPriority w:val="70"/>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2">
    <w:name w:val="Dark List Accent 6"/>
    <w:basedOn w:val="34"/>
    <w:qFormat/>
    <w:uiPriority w:val="70"/>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3">
    <w:name w:val="Colorful Shading"/>
    <w:basedOn w:val="34"/>
    <w:qFormat/>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1"/>
    <w:basedOn w:val="34"/>
    <w:qFormat/>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2"/>
    <w:basedOn w:val="34"/>
    <w:qFormat/>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3"/>
    <w:basedOn w:val="34"/>
    <w:qFormat/>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7">
    <w:name w:val="Colorful Shading Accent 4"/>
    <w:basedOn w:val="34"/>
    <w:qFormat/>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5"/>
    <w:basedOn w:val="34"/>
    <w:qFormat/>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6"/>
    <w:basedOn w:val="34"/>
    <w:qFormat/>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List"/>
    <w:basedOn w:val="34"/>
    <w:qFormat/>
    <w:uiPriority w:val="72"/>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1">
    <w:name w:val="Colorful List Accent 1"/>
    <w:basedOn w:val="34"/>
    <w:qFormat/>
    <w:uiPriority w:val="72"/>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2">
    <w:name w:val="Colorful List Accent 2"/>
    <w:basedOn w:val="34"/>
    <w:qFormat/>
    <w:uiPriority w:val="72"/>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3">
    <w:name w:val="Colorful List Accent 3"/>
    <w:basedOn w:val="34"/>
    <w:qFormat/>
    <w:uiPriority w:val="72"/>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4">
    <w:name w:val="Colorful List Accent 4"/>
    <w:basedOn w:val="34"/>
    <w:qFormat/>
    <w:uiPriority w:val="72"/>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5">
    <w:name w:val="Colorful List Accent 5"/>
    <w:basedOn w:val="34"/>
    <w:qFormat/>
    <w:uiPriority w:val="72"/>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6">
    <w:name w:val="Colorful List Accent 6"/>
    <w:basedOn w:val="34"/>
    <w:qFormat/>
    <w:uiPriority w:val="72"/>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7">
    <w:name w:val="Colorful Grid"/>
    <w:basedOn w:val="34"/>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8">
    <w:name w:val="Colorful Grid Accent 1"/>
    <w:basedOn w:val="34"/>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9">
    <w:name w:val="Colorful Grid Accent 2"/>
    <w:basedOn w:val="34"/>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0">
    <w:name w:val="Colorful Grid Accent 3"/>
    <w:basedOn w:val="34"/>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1">
    <w:name w:val="Colorful Grid Accent 4"/>
    <w:basedOn w:val="34"/>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2">
    <w:name w:val="Colorful Grid Accent 5"/>
    <w:basedOn w:val="34"/>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3">
    <w:name w:val="Colorful Grid Accent 6"/>
    <w:basedOn w:val="34"/>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5">
    <w:name w:val="Strong"/>
    <w:basedOn w:val="134"/>
    <w:qFormat/>
    <w:uiPriority w:val="22"/>
    <w:rPr>
      <w:b/>
      <w:bCs/>
    </w:rPr>
  </w:style>
  <w:style w:type="character" w:styleId="136">
    <w:name w:val="Emphasis"/>
    <w:basedOn w:val="134"/>
    <w:qFormat/>
    <w:uiPriority w:val="20"/>
    <w:rPr>
      <w:i/>
      <w:iCs/>
    </w:rPr>
  </w:style>
  <w:style w:type="character" w:styleId="137">
    <w:name w:val="Hyperlink"/>
    <w:basedOn w:val="134"/>
    <w:semiHidden/>
    <w:unhideWhenUsed/>
    <w:qFormat/>
    <w:uiPriority w:val="99"/>
    <w:rPr>
      <w:color w:val="0000FF"/>
      <w:u w:val="single"/>
    </w:rPr>
  </w:style>
  <w:style w:type="character" w:customStyle="1" w:styleId="138">
    <w:name w:val="页眉 字符"/>
    <w:basedOn w:val="134"/>
    <w:link w:val="26"/>
    <w:qFormat/>
    <w:uiPriority w:val="99"/>
  </w:style>
  <w:style w:type="character" w:customStyle="1" w:styleId="139">
    <w:name w:val="页脚 字符"/>
    <w:basedOn w:val="134"/>
    <w:link w:val="25"/>
    <w:qFormat/>
    <w:uiPriority w:val="99"/>
  </w:style>
  <w:style w:type="paragraph" w:styleId="140">
    <w:name w:val="No Spacing"/>
    <w:qFormat/>
    <w:uiPriority w:val="1"/>
    <w:rPr>
      <w:rFonts w:asciiTheme="minorHAnsi" w:hAnsiTheme="minorHAnsi" w:eastAsiaTheme="minorEastAsia" w:cstheme="minorBidi"/>
      <w:sz w:val="22"/>
      <w:szCs w:val="22"/>
      <w:lang w:val="en-US" w:eastAsia="en-US" w:bidi="ar-SA"/>
    </w:rPr>
  </w:style>
  <w:style w:type="character" w:customStyle="1" w:styleId="141">
    <w:name w:val="标题 1 字符"/>
    <w:basedOn w:val="134"/>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2">
    <w:name w:val="标题 2 字符"/>
    <w:basedOn w:val="134"/>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3">
    <w:name w:val="标题 3 字符"/>
    <w:basedOn w:val="134"/>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4">
    <w:name w:val="标题 字符"/>
    <w:basedOn w:val="134"/>
    <w:link w:val="33"/>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5">
    <w:name w:val="副标题 字符"/>
    <w:basedOn w:val="134"/>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6">
    <w:name w:val="List Paragraph"/>
    <w:basedOn w:val="1"/>
    <w:qFormat/>
    <w:uiPriority w:val="34"/>
    <w:pPr>
      <w:ind w:left="720"/>
      <w:contextualSpacing/>
    </w:pPr>
  </w:style>
  <w:style w:type="character" w:customStyle="1" w:styleId="147">
    <w:name w:val="正文文本 字符"/>
    <w:basedOn w:val="134"/>
    <w:link w:val="19"/>
    <w:qFormat/>
    <w:uiPriority w:val="99"/>
  </w:style>
  <w:style w:type="character" w:customStyle="1" w:styleId="148">
    <w:name w:val="正文文本 2 字符"/>
    <w:basedOn w:val="134"/>
    <w:link w:val="29"/>
    <w:qFormat/>
    <w:uiPriority w:val="99"/>
  </w:style>
  <w:style w:type="character" w:customStyle="1" w:styleId="149">
    <w:name w:val="正文文本 3 字符"/>
    <w:basedOn w:val="134"/>
    <w:link w:val="17"/>
    <w:qFormat/>
    <w:uiPriority w:val="99"/>
    <w:rPr>
      <w:sz w:val="16"/>
      <w:szCs w:val="16"/>
    </w:rPr>
  </w:style>
  <w:style w:type="character" w:customStyle="1" w:styleId="150">
    <w:name w:val="宏文本 字符"/>
    <w:basedOn w:val="134"/>
    <w:link w:val="2"/>
    <w:qFormat/>
    <w:uiPriority w:val="99"/>
    <w:rPr>
      <w:rFonts w:ascii="Courier" w:hAnsi="Courier"/>
      <w:sz w:val="20"/>
      <w:szCs w:val="20"/>
    </w:rPr>
  </w:style>
  <w:style w:type="paragraph" w:styleId="151">
    <w:name w:val="Quote"/>
    <w:basedOn w:val="1"/>
    <w:next w:val="1"/>
    <w:link w:val="152"/>
    <w:qFormat/>
    <w:uiPriority w:val="29"/>
    <w:rPr>
      <w:i/>
      <w:iCs/>
      <w:color w:val="000000" w:themeColor="text1"/>
      <w14:textFill>
        <w14:solidFill>
          <w14:schemeClr w14:val="tx1"/>
        </w14:solidFill>
      </w14:textFill>
    </w:rPr>
  </w:style>
  <w:style w:type="character" w:customStyle="1" w:styleId="152">
    <w:name w:val="引用 字符"/>
    <w:basedOn w:val="134"/>
    <w:link w:val="151"/>
    <w:qFormat/>
    <w:uiPriority w:val="29"/>
    <w:rPr>
      <w:i/>
      <w:iCs/>
      <w:color w:val="000000" w:themeColor="text1"/>
      <w14:textFill>
        <w14:solidFill>
          <w14:schemeClr w14:val="tx1"/>
        </w14:solidFill>
      </w14:textFill>
    </w:rPr>
  </w:style>
  <w:style w:type="character" w:customStyle="1" w:styleId="153">
    <w:name w:val="标题 4 字符"/>
    <w:basedOn w:val="134"/>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4">
    <w:name w:val="标题 5 字符"/>
    <w:basedOn w:val="134"/>
    <w:link w:val="7"/>
    <w:semiHidden/>
    <w:qFormat/>
    <w:uiPriority w:val="9"/>
    <w:rPr>
      <w:rFonts w:asciiTheme="majorHAnsi" w:hAnsiTheme="majorHAnsi" w:eastAsiaTheme="majorEastAsia" w:cstheme="majorBidi"/>
      <w:color w:val="254061" w:themeColor="accent1" w:themeShade="80"/>
    </w:rPr>
  </w:style>
  <w:style w:type="character" w:customStyle="1" w:styleId="155">
    <w:name w:val="标题 6 字符"/>
    <w:basedOn w:val="134"/>
    <w:link w:val="8"/>
    <w:semiHidden/>
    <w:qFormat/>
    <w:uiPriority w:val="9"/>
    <w:rPr>
      <w:rFonts w:asciiTheme="majorHAnsi" w:hAnsiTheme="majorHAnsi" w:eastAsiaTheme="majorEastAsia" w:cstheme="majorBidi"/>
      <w:i/>
      <w:iCs/>
      <w:color w:val="254061" w:themeColor="accent1" w:themeShade="80"/>
    </w:rPr>
  </w:style>
  <w:style w:type="character" w:customStyle="1" w:styleId="156">
    <w:name w:val="标题 7 字符"/>
    <w:basedOn w:val="134"/>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7">
    <w:name w:val="标题 8 字符"/>
    <w:basedOn w:val="134"/>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8">
    <w:name w:val="标题 9 字符"/>
    <w:basedOn w:val="134"/>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9">
    <w:name w:val="Intense Quote"/>
    <w:basedOn w:val="1"/>
    <w:next w:val="1"/>
    <w:link w:val="160"/>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0">
    <w:name w:val="明显引用 字符"/>
    <w:basedOn w:val="134"/>
    <w:link w:val="159"/>
    <w:qFormat/>
    <w:uiPriority w:val="30"/>
    <w:rPr>
      <w:b/>
      <w:bCs/>
      <w:i/>
      <w:iCs/>
      <w:color w:val="4F81BD" w:themeColor="accent1"/>
      <w14:textFill>
        <w14:solidFill>
          <w14:schemeClr w14:val="accent1"/>
        </w14:solidFill>
      </w14:textFill>
    </w:rPr>
  </w:style>
  <w:style w:type="character" w:customStyle="1" w:styleId="161">
    <w:name w:val="不明显强调1"/>
    <w:basedOn w:val="134"/>
    <w:qFormat/>
    <w:uiPriority w:val="19"/>
    <w:rPr>
      <w:i/>
      <w:iCs/>
      <w:color w:val="808080" w:themeColor="text1" w:themeTint="80"/>
      <w14:textFill>
        <w14:solidFill>
          <w14:schemeClr w14:val="tx1">
            <w14:lumMod w14:val="50000"/>
            <w14:lumOff w14:val="50000"/>
          </w14:schemeClr>
        </w14:solidFill>
      </w14:textFill>
    </w:rPr>
  </w:style>
  <w:style w:type="character" w:customStyle="1" w:styleId="162">
    <w:name w:val="明显强调1"/>
    <w:basedOn w:val="134"/>
    <w:qFormat/>
    <w:uiPriority w:val="21"/>
    <w:rPr>
      <w:b/>
      <w:bCs/>
      <w:i/>
      <w:iCs/>
      <w:color w:val="4F81BD" w:themeColor="accent1"/>
      <w14:textFill>
        <w14:solidFill>
          <w14:schemeClr w14:val="accent1"/>
        </w14:solidFill>
      </w14:textFill>
    </w:rPr>
  </w:style>
  <w:style w:type="character" w:customStyle="1" w:styleId="163">
    <w:name w:val="不明显参考1"/>
    <w:basedOn w:val="134"/>
    <w:qFormat/>
    <w:uiPriority w:val="31"/>
    <w:rPr>
      <w:smallCaps/>
      <w:color w:val="C0504D" w:themeColor="accent2"/>
      <w:u w:val="single"/>
      <w14:textFill>
        <w14:solidFill>
          <w14:schemeClr w14:val="accent2"/>
        </w14:solidFill>
      </w14:textFill>
    </w:rPr>
  </w:style>
  <w:style w:type="character" w:customStyle="1" w:styleId="164">
    <w:name w:val="明显参考1"/>
    <w:basedOn w:val="134"/>
    <w:qFormat/>
    <w:uiPriority w:val="32"/>
    <w:rPr>
      <w:b/>
      <w:bCs/>
      <w:smallCaps/>
      <w:color w:val="C0504D" w:themeColor="accent2"/>
      <w:spacing w:val="5"/>
      <w:u w:val="single"/>
      <w14:textFill>
        <w14:solidFill>
          <w14:schemeClr w14:val="accent2"/>
        </w14:solidFill>
      </w14:textFill>
    </w:rPr>
  </w:style>
  <w:style w:type="character" w:customStyle="1" w:styleId="165">
    <w:name w:val="书籍标题1"/>
    <w:basedOn w:val="134"/>
    <w:qFormat/>
    <w:uiPriority w:val="33"/>
    <w:rPr>
      <w:b/>
      <w:bCs/>
      <w:smallCaps/>
      <w:spacing w:val="5"/>
    </w:rPr>
  </w:style>
  <w:style w:type="paragraph" w:customStyle="1" w:styleId="166">
    <w:name w:val="TOC 标题1"/>
    <w:basedOn w:val="3"/>
    <w:next w:val="1"/>
    <w:semiHidden/>
    <w:unhideWhenUsed/>
    <w:qFormat/>
    <w:uiPriority w:val="39"/>
    <w:pPr>
      <w:outlineLvl w:val="9"/>
    </w:pPr>
  </w:style>
  <w:style w:type="character" w:customStyle="1" w:styleId="167">
    <w:name w:val="日期 字符"/>
    <w:basedOn w:val="134"/>
    <w:link w:val="24"/>
    <w:semiHidden/>
    <w:qFormat/>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2939</Words>
  <Characters>3168</Characters>
  <Lines>129</Lines>
  <Paragraphs>148</Paragraphs>
  <TotalTime>64</TotalTime>
  <ScaleCrop>false</ScaleCrop>
  <LinksUpToDate>false</LinksUpToDate>
  <CharactersWithSpaces>3177</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花看半开</cp:lastModifiedBy>
  <dcterms:modified xsi:type="dcterms:W3CDTF">2026-10-23T03:42:36Z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eyJoZGlkIjoiOGI0ZGVkMjc1YTBlYzlkYzY5NDM0Y2NiOTkzNTgwZjAiLCJ1c2VySWQiOiI2OTgxNDQ2NzQifQ==</vt:lpwstr>
  </property>
  <property fmtid="{D5CDD505-2E9C-101B-9397-08002B2CF9AE}" pid="3" name="KSOProductBuildVer">
    <vt:lpwstr>2052-12.1.0.29158</vt:lpwstr>
  </property>
  <property fmtid="{D5CDD505-2E9C-101B-9397-08002B2CF9AE}" pid="4" name="ICV">
    <vt:lpwstr>191D90D17EB949609940BC70525C77EF_13</vt:lpwstr>
  </property>
</Properties>
</file>