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2CF194">
      <w:pPr>
        <w:spacing w:after="360"/>
        <w:jc w:val="center"/>
        <w:rPr>
          <w:lang w:eastAsia="zh-CN"/>
        </w:rPr>
      </w:pPr>
      <w:r>
        <w:rPr>
          <w:rFonts w:ascii="Times New Roman" w:hAnsi="Times New Roman" w:eastAsia="黑体"/>
          <w:b/>
          <w:sz w:val="36"/>
          <w:lang w:eastAsia="zh-CN"/>
        </w:rPr>
        <w:t>零食有鸣</w:t>
      </w:r>
      <w:r>
        <w:rPr>
          <w:rFonts w:hint="eastAsia" w:ascii="Times New Roman" w:hAnsi="Times New Roman" w:eastAsia="黑体"/>
          <w:b/>
          <w:sz w:val="36"/>
          <w:lang w:eastAsia="zh-CN"/>
        </w:rPr>
        <w:t>《</w:t>
      </w:r>
      <w:r>
        <w:rPr>
          <w:rFonts w:ascii="Times New Roman" w:hAnsi="Times New Roman" w:eastAsia="黑体"/>
          <w:b/>
          <w:sz w:val="36"/>
          <w:lang w:eastAsia="zh-CN"/>
        </w:rPr>
        <w:t>供应商质量管理体系1.0版</w:t>
      </w:r>
      <w:r>
        <w:rPr>
          <w:rFonts w:hint="eastAsia" w:ascii="Times New Roman" w:hAnsi="Times New Roman" w:eastAsia="黑体"/>
          <w:b/>
          <w:sz w:val="36"/>
          <w:lang w:eastAsia="zh-CN"/>
        </w:rPr>
        <w:t>》</w:t>
      </w:r>
      <w:r>
        <w:rPr>
          <w:rFonts w:ascii="Times New Roman" w:hAnsi="Times New Roman" w:eastAsia="黑体"/>
          <w:b/>
          <w:sz w:val="36"/>
          <w:lang w:eastAsia="zh-CN"/>
        </w:rPr>
        <w:t>咨询项目服务商遴选告知函</w:t>
      </w:r>
    </w:p>
    <w:p w14:paraId="453C98BA">
      <w:pPr>
        <w:spacing w:after="0" w:line="360" w:lineRule="auto"/>
        <w:rPr>
          <w:lang w:eastAsia="zh-CN"/>
        </w:rPr>
      </w:pPr>
      <w:r>
        <w:rPr>
          <w:rFonts w:ascii="Times New Roman" w:hAnsi="Times New Roman" w:eastAsia="宋体"/>
          <w:sz w:val="24"/>
          <w:lang w:eastAsia="zh-CN"/>
        </w:rPr>
        <w:t>我司（成都零食有鸣商业管理有限公司）零食有鸣供应商质量管理体系1.0版搭建及数字化落地咨询项目已正式立项，面向行业内专业咨询机构公开遴选服务商。请贵司提前准备以下资料，用于本次服务方案提报及服务商遴选：</w:t>
      </w:r>
    </w:p>
    <w:p w14:paraId="40BBE8DE">
      <w:pPr>
        <w:spacing w:before="240" w:after="120" w:line="360" w:lineRule="auto"/>
        <w:rPr>
          <w:lang w:eastAsia="zh-CN"/>
        </w:rPr>
      </w:pPr>
      <w:r>
        <w:rPr>
          <w:rFonts w:ascii="Times New Roman" w:hAnsi="Times New Roman" w:eastAsia="黑体"/>
          <w:b/>
          <w:sz w:val="26"/>
          <w:lang w:eastAsia="zh-CN"/>
        </w:rPr>
        <w:t>一、机构基础信息</w:t>
      </w:r>
    </w:p>
    <w:p w14:paraId="03E16990">
      <w:pPr>
        <w:spacing w:after="0" w:line="360" w:lineRule="auto"/>
        <w:ind w:firstLine="420"/>
        <w:rPr>
          <w:lang w:eastAsia="zh-CN"/>
        </w:rPr>
      </w:pPr>
      <w:r>
        <w:rPr>
          <w:rFonts w:ascii="Times New Roman" w:hAnsi="Times New Roman" w:eastAsia="宋体"/>
          <w:sz w:val="24"/>
          <w:lang w:eastAsia="zh-CN"/>
        </w:rPr>
        <w:t>提交公司整体简介、食品质量管理体系咨询专项业务介绍、核心竞争优势、优势服务区域说明，并提供合作客户案例资料，具体要求如下：</w:t>
      </w:r>
    </w:p>
    <w:p w14:paraId="799B75C7">
      <w:pPr>
        <w:spacing w:after="0" w:line="360" w:lineRule="auto"/>
        <w:ind w:firstLine="420"/>
        <w:rPr>
          <w:lang w:eastAsia="zh-CN"/>
        </w:rPr>
      </w:pPr>
      <w:r>
        <w:rPr>
          <w:rFonts w:ascii="Times New Roman" w:hAnsi="Times New Roman" w:eastAsia="宋体"/>
          <w:sz w:val="24"/>
          <w:lang w:eastAsia="zh-CN"/>
        </w:rPr>
        <w:t>1、咨询业务介绍：食品/零售行业供应商质量管理体系咨询从业年限、完整业务体系、标准化项目实施流程、项目运作模式，以及适配量贩零食、连锁零售、食品生产企业的体系搭建与落地能力。</w:t>
      </w:r>
    </w:p>
    <w:p w14:paraId="5C024389">
      <w:pPr>
        <w:spacing w:after="0" w:line="360" w:lineRule="auto"/>
        <w:ind w:firstLine="420"/>
        <w:rPr>
          <w:lang w:eastAsia="zh-CN"/>
        </w:rPr>
      </w:pPr>
      <w:r>
        <w:rPr>
          <w:rFonts w:ascii="Times New Roman" w:hAnsi="Times New Roman" w:eastAsia="宋体"/>
          <w:sz w:val="24"/>
          <w:lang w:eastAsia="zh-CN"/>
        </w:rPr>
        <w:t>2、核心竞争优势介绍：对比同类机构，阐述在体系专业深度、行业理解、数字化落地、培训体系搭建、供应商分级管理、跨部门推动经验等方面的差异化优势与核心竞争力。</w:t>
      </w:r>
    </w:p>
    <w:p w14:paraId="5DE5BC81">
      <w:pPr>
        <w:spacing w:after="0" w:line="360" w:lineRule="auto"/>
        <w:ind w:firstLine="420"/>
        <w:rPr>
          <w:rFonts w:ascii="Times New Roman" w:hAnsi="Times New Roman" w:eastAsia="宋体"/>
          <w:sz w:val="24"/>
          <w:lang w:eastAsia="zh-CN"/>
        </w:rPr>
      </w:pPr>
      <w:r>
        <w:rPr>
          <w:rFonts w:ascii="Times New Roman" w:hAnsi="Times New Roman" w:eastAsia="宋体"/>
          <w:sz w:val="24"/>
          <w:lang w:eastAsia="zh-CN"/>
        </w:rPr>
        <w:t>3、合作客户/品牌案例清单：提供目前合作的品牌、连锁零售、食品供应链客户清单，重点展示量贩零食/休闲零食/硬折扣业态相关案例，附简要合作内容、服务周期、项目成果。</w:t>
      </w:r>
    </w:p>
    <w:p w14:paraId="517D839E">
      <w:pPr>
        <w:spacing w:after="0" w:line="360" w:lineRule="auto"/>
        <w:ind w:firstLine="420"/>
        <w:rPr>
          <w:rFonts w:ascii="Times New Roman" w:hAnsi="Times New Roman" w:eastAsia="宋体"/>
          <w:sz w:val="24"/>
          <w:lang w:eastAsia="zh-CN"/>
        </w:rPr>
      </w:pPr>
      <w:r>
        <w:rPr>
          <w:rFonts w:ascii="Times New Roman" w:hAnsi="Times New Roman" w:eastAsia="宋体"/>
          <w:sz w:val="24"/>
          <w:lang w:eastAsia="zh-CN"/>
        </w:rPr>
        <w:t>4、</w:t>
      </w:r>
      <w:r>
        <w:rPr>
          <w:rFonts w:hint="eastAsia" w:ascii="Times New Roman" w:hAnsi="Times New Roman" w:eastAsia="宋体"/>
          <w:sz w:val="24"/>
          <w:lang w:eastAsia="zh-CN"/>
        </w:rPr>
        <w:t>资质能力说明：提供团队在食品安全领域的能力说明以及规模说明</w:t>
      </w:r>
      <w:r>
        <w:rPr>
          <w:rFonts w:ascii="Times New Roman" w:hAnsi="Times New Roman" w:eastAsia="宋体"/>
          <w:sz w:val="24"/>
          <w:lang w:eastAsia="zh-CN"/>
        </w:rPr>
        <w:t>。</w:t>
      </w:r>
    </w:p>
    <w:p w14:paraId="572F2DAC">
      <w:pPr>
        <w:spacing w:before="240" w:after="120" w:line="360" w:lineRule="auto"/>
        <w:rPr>
          <w:lang w:eastAsia="zh-CN"/>
        </w:rPr>
      </w:pPr>
      <w:r>
        <w:rPr>
          <w:rFonts w:ascii="Times New Roman" w:hAnsi="Times New Roman" w:eastAsia="黑体"/>
          <w:b/>
          <w:sz w:val="26"/>
          <w:lang w:eastAsia="zh-CN"/>
        </w:rPr>
        <w:t>二、咨询团队资料（硬性要求）</w:t>
      </w:r>
    </w:p>
    <w:p w14:paraId="47F80131">
      <w:pPr>
        <w:spacing w:after="0" w:line="360" w:lineRule="auto"/>
        <w:ind w:firstLine="420"/>
        <w:rPr>
          <w:lang w:eastAsia="zh-CN"/>
        </w:rPr>
      </w:pPr>
      <w:r>
        <w:rPr>
          <w:rFonts w:ascii="Times New Roman" w:hAnsi="Times New Roman" w:eastAsia="宋体"/>
          <w:sz w:val="24"/>
          <w:lang w:eastAsia="zh-CN"/>
        </w:rPr>
        <w:t>请提供完整项目团队清单及人员佐证资料，所有核心人员需满足以下硬性标准，不符合人员不予纳入候选：</w:t>
      </w:r>
    </w:p>
    <w:p w14:paraId="10528940">
      <w:pPr>
        <w:spacing w:after="0" w:line="360" w:lineRule="auto"/>
        <w:ind w:firstLine="420"/>
        <w:rPr>
          <w:lang w:eastAsia="zh-CN"/>
        </w:rPr>
      </w:pPr>
      <w:r>
        <w:rPr>
          <w:rFonts w:ascii="Times New Roman" w:hAnsi="Times New Roman" w:eastAsia="宋体"/>
          <w:sz w:val="24"/>
          <w:lang w:eastAsia="zh-CN"/>
        </w:rPr>
        <w:t>1、无廉政不良记录：所有项目人员未被列入任何行业廉政黑名单、无违规违纪、徇私舞弊、数据造假等不良从业记录。</w:t>
      </w:r>
    </w:p>
    <w:p w14:paraId="49680490">
      <w:pPr>
        <w:spacing w:after="0" w:line="360" w:lineRule="auto"/>
        <w:ind w:firstLine="420"/>
        <w:rPr>
          <w:lang w:eastAsia="zh-CN"/>
        </w:rPr>
      </w:pPr>
      <w:r>
        <w:rPr>
          <w:rFonts w:ascii="Times New Roman" w:hAnsi="Times New Roman" w:eastAsia="宋体"/>
          <w:sz w:val="24"/>
          <w:lang w:eastAsia="zh-CN"/>
        </w:rPr>
        <w:t>2、核心顾问具备8年以上食品质量管理、供应商审核或体系咨询经验，其中项目负责人具备完整的“从0到1”供应商质量管理体系搭建落地案例（含体系文件、审核机制、培训体系、数字化落地全周期）。</w:t>
      </w:r>
    </w:p>
    <w:p w14:paraId="3683D783">
      <w:pPr>
        <w:spacing w:after="0" w:line="360" w:lineRule="auto"/>
        <w:ind w:firstLine="420"/>
        <w:rPr>
          <w:lang w:eastAsia="zh-CN"/>
        </w:rPr>
      </w:pPr>
      <w:r>
        <w:rPr>
          <w:rFonts w:ascii="Times New Roman" w:hAnsi="Times New Roman" w:eastAsia="宋体"/>
          <w:sz w:val="24"/>
          <w:lang w:eastAsia="zh-CN"/>
        </w:rPr>
        <w:t>3、专项人员配置：项目负责人（1名）、体系文件主笔（1-2名）、数字化对接顾问（1名，熟悉SRM/QMS/BI）、培训讲师（1名），并明确各人员投入人天占比。</w:t>
      </w:r>
    </w:p>
    <w:p w14:paraId="7AEF9633">
      <w:pPr>
        <w:spacing w:after="0" w:line="360" w:lineRule="auto"/>
        <w:ind w:firstLine="420"/>
        <w:rPr>
          <w:lang w:eastAsia="zh-CN"/>
        </w:rPr>
      </w:pPr>
      <w:r>
        <w:rPr>
          <w:rFonts w:ascii="Times New Roman" w:hAnsi="Times New Roman" w:eastAsia="宋体"/>
          <w:sz w:val="24"/>
          <w:lang w:eastAsia="zh-CN"/>
        </w:rPr>
        <w:t>4、人员资料要求：每位核心成员提供从业履历、资质证书、过往主导项目经验、擅长模块；标注可驻场天数比例与响应时效。</w:t>
      </w:r>
    </w:p>
    <w:p w14:paraId="54622C05">
      <w:pPr>
        <w:spacing w:before="240" w:after="120" w:line="360" w:lineRule="auto"/>
        <w:rPr>
          <w:lang w:eastAsia="zh-CN"/>
        </w:rPr>
      </w:pPr>
      <w:r>
        <w:rPr>
          <w:rFonts w:ascii="Times New Roman" w:hAnsi="Times New Roman" w:eastAsia="黑体"/>
          <w:b/>
          <w:sz w:val="26"/>
          <w:lang w:eastAsia="zh-CN"/>
        </w:rPr>
        <w:t>三、服务方案与技术要求</w:t>
      </w:r>
    </w:p>
    <w:p w14:paraId="553FA1A5">
      <w:pPr>
        <w:spacing w:after="0" w:line="360" w:lineRule="auto"/>
        <w:ind w:firstLine="420"/>
        <w:rPr>
          <w:lang w:eastAsia="zh-CN"/>
        </w:rPr>
      </w:pPr>
      <w:r>
        <w:rPr>
          <w:rFonts w:ascii="Times New Roman" w:hAnsi="Times New Roman" w:eastAsia="宋体"/>
          <w:sz w:val="24"/>
          <w:lang w:eastAsia="zh-CN"/>
        </w:rPr>
        <w:t>请提交系统的供应商质量管理体系1.0版建设方案，明确技术路线与交付标准，具体要求如下：</w:t>
      </w:r>
    </w:p>
    <w:p w14:paraId="05290B04">
      <w:pPr>
        <w:spacing w:after="0" w:line="360" w:lineRule="auto"/>
        <w:ind w:firstLine="420"/>
        <w:rPr>
          <w:lang w:eastAsia="zh-CN"/>
        </w:rPr>
      </w:pPr>
      <w:r>
        <w:rPr>
          <w:rFonts w:ascii="Times New Roman" w:hAnsi="Times New Roman" w:eastAsia="宋体"/>
          <w:sz w:val="24"/>
          <w:lang w:eastAsia="zh-CN"/>
        </w:rPr>
        <w:t>1、体系文件框架：覆盖“选/用/育/留（流）”全模块及种养殖基地食安体系，完成质量手册、程序文件、作业指导书、记录表单四层文件搭建，文件数量预计20份以上；须贴合公司“食品安全第一、品质第二、价格第三、包装第四”四关逐级审核逻辑，不得脱离业务实际。</w:t>
      </w:r>
    </w:p>
    <w:p w14:paraId="1298444A">
      <w:pPr>
        <w:spacing w:after="0" w:line="360" w:lineRule="auto"/>
        <w:ind w:firstLine="420"/>
        <w:rPr>
          <w:lang w:eastAsia="zh-CN"/>
        </w:rPr>
      </w:pPr>
      <w:r>
        <w:rPr>
          <w:rFonts w:ascii="Times New Roman" w:hAnsi="Times New Roman" w:eastAsia="宋体"/>
          <w:sz w:val="24"/>
          <w:lang w:eastAsia="zh-CN"/>
        </w:rPr>
        <w:t>2、供应商分级管理：按风险等级划分供应商（高/中/低风险），高风险及中风险供应商重点管控、低风险头部品牌简化审核；明确供应商辅导改善路径与目标值。</w:t>
      </w:r>
    </w:p>
    <w:p w14:paraId="76808852">
      <w:pPr>
        <w:spacing w:after="0" w:line="360" w:lineRule="auto"/>
        <w:ind w:firstLine="420"/>
        <w:rPr>
          <w:lang w:eastAsia="zh-CN"/>
        </w:rPr>
      </w:pPr>
      <w:r>
        <w:rPr>
          <w:rFonts w:ascii="Times New Roman" w:hAnsi="Times New Roman" w:eastAsia="宋体"/>
          <w:sz w:val="24"/>
          <w:lang w:eastAsia="zh-CN"/>
        </w:rPr>
        <w:t>3、数字化落地支持：协助对接内部IT团队，梳理SRM（供应商关系管理）系统与OA/BPM流程需求，推动体系规则嵌入2027年4-5月上线的SRM一期，实现内外部流程打通；不接受纯纸质化交付。</w:t>
      </w:r>
    </w:p>
    <w:p w14:paraId="3BFAAFE5">
      <w:pPr>
        <w:spacing w:after="0" w:line="360" w:lineRule="auto"/>
        <w:ind w:firstLine="420"/>
        <w:rPr>
          <w:lang w:eastAsia="zh-CN"/>
        </w:rPr>
      </w:pPr>
      <w:r>
        <w:rPr>
          <w:rFonts w:ascii="Times New Roman" w:hAnsi="Times New Roman" w:eastAsia="宋体"/>
          <w:sz w:val="24"/>
          <w:lang w:eastAsia="zh-CN"/>
        </w:rPr>
        <w:t>4、分层培训体系：搭建内部业务人员、外部供应商、第三方审核/检测机构三类对象的差异化培训课程，可对接公司“鸣人堂”平台长期复用；新员工学完方可过试用期、新供应商完成课程方可准入。</w:t>
      </w:r>
    </w:p>
    <w:p w14:paraId="1B3AB2A5">
      <w:pPr>
        <w:spacing w:after="0" w:line="360" w:lineRule="auto"/>
        <w:ind w:firstLine="420"/>
        <w:rPr>
          <w:lang w:eastAsia="zh-CN"/>
        </w:rPr>
      </w:pPr>
      <w:r>
        <w:rPr>
          <w:rFonts w:ascii="Times New Roman" w:hAnsi="Times New Roman" w:eastAsia="宋体"/>
          <w:sz w:val="24"/>
          <w:lang w:eastAsia="zh-CN"/>
        </w:rPr>
        <w:t>5、项目推进策略：明确高规格启动会方案、跨部门联络员机制、试运行与试点范围、文件会签与共识达成路径，避免“建而不用”。</w:t>
      </w:r>
    </w:p>
    <w:p w14:paraId="35E41E3D">
      <w:pPr>
        <w:spacing w:after="0" w:line="360" w:lineRule="auto"/>
        <w:ind w:firstLine="420"/>
        <w:rPr>
          <w:lang w:eastAsia="zh-CN"/>
        </w:rPr>
      </w:pPr>
      <w:r>
        <w:rPr>
          <w:rFonts w:ascii="Times New Roman" w:hAnsi="Times New Roman" w:eastAsia="宋体"/>
          <w:sz w:val="24"/>
          <w:lang w:eastAsia="zh-CN"/>
        </w:rPr>
        <w:t>6、效果验收：明确各里程碑可量化验收标准（文件会签通过率、培训覆盖率与考核通过率、试运行问题闭环率、上线后供应商线上化率），并提供能力转移（内审核员培养、知识库交付）机制。</w:t>
      </w:r>
    </w:p>
    <w:p w14:paraId="0B68C9C7">
      <w:pPr>
        <w:spacing w:before="240" w:after="120" w:line="360" w:lineRule="auto"/>
        <w:rPr>
          <w:lang w:eastAsia="zh-CN"/>
        </w:rPr>
      </w:pPr>
      <w:r>
        <w:rPr>
          <w:rFonts w:ascii="Times New Roman" w:hAnsi="Times New Roman" w:eastAsia="黑体"/>
          <w:b/>
          <w:sz w:val="26"/>
          <w:lang w:eastAsia="zh-CN"/>
        </w:rPr>
        <w:t>四、项目周期与里程碑</w:t>
      </w:r>
      <w:r>
        <w:rPr>
          <w:rFonts w:hint="eastAsia" w:ascii="Times New Roman" w:hAnsi="Times New Roman" w:eastAsia="黑体"/>
          <w:b/>
          <w:sz w:val="26"/>
          <w:lang w:eastAsia="zh-CN"/>
        </w:rPr>
        <w:t>（初步计划，具体可根据项目合约确定后微调）</w:t>
      </w:r>
    </w:p>
    <w:p w14:paraId="4E1192EF">
      <w:pPr>
        <w:spacing w:after="0" w:line="360" w:lineRule="auto"/>
        <w:ind w:firstLine="420"/>
        <w:rPr>
          <w:lang w:eastAsia="zh-CN"/>
        </w:rPr>
      </w:pPr>
      <w:r>
        <w:rPr>
          <w:rFonts w:ascii="Times New Roman" w:hAnsi="Times New Roman" w:eastAsia="宋体"/>
          <w:sz w:val="24"/>
          <w:lang w:eastAsia="zh-CN"/>
        </w:rPr>
        <w:t>项目周期预计14个月（2026年11月—2027年12月），关键里程碑：</w:t>
      </w:r>
    </w:p>
    <w:p w14:paraId="133ECB25">
      <w:pPr>
        <w:spacing w:after="0" w:line="360" w:lineRule="auto"/>
        <w:ind w:firstLine="420"/>
        <w:rPr>
          <w:lang w:eastAsia="zh-CN"/>
        </w:rPr>
      </w:pPr>
      <w:r>
        <w:rPr>
          <w:rFonts w:ascii="Times New Roman" w:hAnsi="Times New Roman" w:eastAsia="宋体"/>
          <w:sz w:val="24"/>
          <w:lang w:eastAsia="zh-CN"/>
        </w:rPr>
        <w:t>1、2026年11月：现状调研完成、项目启动会召开；</w:t>
      </w:r>
    </w:p>
    <w:p w14:paraId="6B0408A1">
      <w:pPr>
        <w:spacing w:after="0" w:line="360" w:lineRule="auto"/>
        <w:ind w:firstLine="420"/>
        <w:rPr>
          <w:lang w:eastAsia="zh-CN"/>
        </w:rPr>
      </w:pPr>
      <w:r>
        <w:rPr>
          <w:rFonts w:ascii="Times New Roman" w:hAnsi="Times New Roman" w:eastAsia="宋体"/>
          <w:sz w:val="24"/>
          <w:lang w:eastAsia="zh-CN"/>
        </w:rPr>
        <w:t>2、2027年4月：全套体系文件编制完成；</w:t>
      </w:r>
    </w:p>
    <w:p w14:paraId="14CBFF8D">
      <w:pPr>
        <w:spacing w:after="0" w:line="360" w:lineRule="auto"/>
        <w:ind w:firstLine="420"/>
        <w:rPr>
          <w:lang w:eastAsia="zh-CN"/>
        </w:rPr>
      </w:pPr>
      <w:r>
        <w:rPr>
          <w:rFonts w:ascii="Times New Roman" w:hAnsi="Times New Roman" w:eastAsia="宋体"/>
          <w:sz w:val="24"/>
          <w:lang w:eastAsia="zh-CN"/>
        </w:rPr>
        <w:t>3、2027年5月：体系文件跨部门共识与发布；</w:t>
      </w:r>
    </w:p>
    <w:p w14:paraId="71178FD3">
      <w:pPr>
        <w:spacing w:after="0" w:line="360" w:lineRule="auto"/>
        <w:ind w:firstLine="420"/>
        <w:rPr>
          <w:lang w:eastAsia="zh-CN"/>
        </w:rPr>
      </w:pPr>
      <w:r>
        <w:rPr>
          <w:rFonts w:ascii="Times New Roman" w:hAnsi="Times New Roman" w:eastAsia="宋体"/>
          <w:sz w:val="24"/>
          <w:lang w:eastAsia="zh-CN"/>
        </w:rPr>
        <w:t>4、2027年6月：体系1.0试运行；</w:t>
      </w:r>
    </w:p>
    <w:p w14:paraId="2FF5760F">
      <w:pPr>
        <w:spacing w:after="0" w:line="360" w:lineRule="auto"/>
        <w:ind w:firstLine="420"/>
        <w:rPr>
          <w:lang w:eastAsia="zh-CN"/>
        </w:rPr>
      </w:pPr>
      <w:r>
        <w:rPr>
          <w:rFonts w:ascii="Times New Roman" w:hAnsi="Times New Roman" w:eastAsia="宋体"/>
          <w:sz w:val="24"/>
          <w:lang w:eastAsia="zh-CN"/>
        </w:rPr>
        <w:t>5、2027年7月：体系1.0正式运行；</w:t>
      </w:r>
    </w:p>
    <w:p w14:paraId="76BEE035">
      <w:pPr>
        <w:spacing w:after="0" w:line="360" w:lineRule="auto"/>
        <w:ind w:firstLine="420"/>
        <w:rPr>
          <w:lang w:eastAsia="zh-CN"/>
        </w:rPr>
      </w:pPr>
      <w:r>
        <w:rPr>
          <w:rFonts w:ascii="Times New Roman" w:hAnsi="Times New Roman" w:eastAsia="宋体"/>
          <w:sz w:val="24"/>
          <w:lang w:eastAsia="zh-CN"/>
        </w:rPr>
        <w:t>6、2027年12月：SRM/QMS/培训系统数字化落地完成。</w:t>
      </w:r>
    </w:p>
    <w:p w14:paraId="13AC4B64">
      <w:pPr>
        <w:spacing w:after="0" w:line="360" w:lineRule="auto"/>
        <w:ind w:firstLine="420"/>
        <w:rPr>
          <w:lang w:eastAsia="zh-CN"/>
        </w:rPr>
      </w:pPr>
      <w:r>
        <w:rPr>
          <w:rFonts w:ascii="Times New Roman" w:hAnsi="Times New Roman" w:eastAsia="宋体"/>
          <w:sz w:val="24"/>
          <w:lang w:eastAsia="zh-CN"/>
        </w:rPr>
        <w:t>请在方案中按上述节点倒排工作计划，并说明并行开展事项与风险预案。</w:t>
      </w:r>
    </w:p>
    <w:p w14:paraId="53D4F1CD">
      <w:pPr>
        <w:spacing w:before="240" w:after="120" w:line="360" w:lineRule="auto"/>
        <w:rPr>
          <w:lang w:eastAsia="zh-CN"/>
        </w:rPr>
      </w:pPr>
      <w:r>
        <w:rPr>
          <w:rFonts w:ascii="Times New Roman" w:hAnsi="Times New Roman" w:eastAsia="黑体"/>
          <w:b/>
          <w:sz w:val="26"/>
          <w:lang w:eastAsia="zh-CN"/>
        </w:rPr>
        <w:t>五、服务报价体系（全包一口价报价方案，无隐形费用）</w:t>
      </w:r>
    </w:p>
    <w:p w14:paraId="2B4D2156">
      <w:pPr>
        <w:spacing w:after="0" w:line="360" w:lineRule="auto"/>
        <w:ind w:firstLine="420"/>
        <w:rPr>
          <w:lang w:eastAsia="zh-CN"/>
        </w:rPr>
      </w:pPr>
      <w:r>
        <w:rPr>
          <w:rFonts w:ascii="Times New Roman" w:hAnsi="Times New Roman" w:eastAsia="宋体"/>
          <w:sz w:val="24"/>
          <w:lang w:eastAsia="zh-CN"/>
        </w:rPr>
        <w:t>1、报价采用人天单价模式，所有差旅费用（含交通、住宿、市内交通）全部打包进人天单价，不再单独列支；</w:t>
      </w:r>
    </w:p>
    <w:p w14:paraId="4904AE3E">
      <w:pPr>
        <w:spacing w:after="0" w:line="360" w:lineRule="auto"/>
        <w:ind w:firstLine="420"/>
        <w:rPr>
          <w:lang w:eastAsia="zh-CN"/>
        </w:rPr>
      </w:pPr>
      <w:r>
        <w:rPr>
          <w:rFonts w:ascii="Times New Roman" w:hAnsi="Times New Roman" w:eastAsia="宋体"/>
          <w:sz w:val="24"/>
          <w:lang w:eastAsia="zh-CN"/>
        </w:rPr>
        <w:t>2、报价包含但不限于：顾问人工费、差旅费、项目管理费、培训课件开发费、数字化需求梳理费、利润、税金（增值税专用发票）及合同明示或暗示的所有风险、责任与义务费用，无任何隐形收费；</w:t>
      </w:r>
    </w:p>
    <w:p w14:paraId="539D5DBC">
      <w:pPr>
        <w:spacing w:after="0" w:line="360" w:lineRule="auto"/>
        <w:ind w:firstLine="420"/>
        <w:rPr>
          <w:lang w:eastAsia="zh-CN"/>
        </w:rPr>
      </w:pPr>
      <w:r>
        <w:rPr>
          <w:rFonts w:ascii="Times New Roman" w:hAnsi="Times New Roman" w:eastAsia="宋体"/>
          <w:sz w:val="24"/>
          <w:lang w:eastAsia="zh-CN"/>
        </w:rPr>
        <w:t>3、按以下维度分项列明：① 体系文件编制模块；② 培训体系搭建模块；③ 数字化需求对接模块；④ 试运行辅导与验收模块；</w:t>
      </w:r>
    </w:p>
    <w:p w14:paraId="5721CDA3">
      <w:pPr>
        <w:spacing w:after="0" w:line="360" w:lineRule="auto"/>
        <w:ind w:firstLine="420"/>
        <w:rPr>
          <w:lang w:eastAsia="zh-CN"/>
        </w:rPr>
      </w:pPr>
      <w:r>
        <w:rPr>
          <w:rFonts w:ascii="Times New Roman" w:hAnsi="Times New Roman" w:eastAsia="宋体"/>
          <w:sz w:val="24"/>
          <w:lang w:eastAsia="zh-CN"/>
        </w:rPr>
        <w:t>4、付款方式</w:t>
      </w:r>
      <w:r>
        <w:rPr>
          <w:rFonts w:hint="eastAsia" w:ascii="Times New Roman" w:hAnsi="Times New Roman" w:eastAsia="宋体"/>
          <w:sz w:val="24"/>
          <w:lang w:eastAsia="zh-CN"/>
        </w:rPr>
        <w:t>：</w:t>
      </w:r>
      <w:r>
        <w:rPr>
          <w:rFonts w:ascii="Times New Roman" w:hAnsi="Times New Roman" w:eastAsia="宋体"/>
          <w:sz w:val="24"/>
          <w:lang w:eastAsia="zh-CN"/>
        </w:rPr>
        <w:t>具体以合同约定为准；</w:t>
      </w:r>
    </w:p>
    <w:p w14:paraId="51E9C08A">
      <w:pPr>
        <w:spacing w:before="240" w:after="120" w:line="360" w:lineRule="auto"/>
        <w:rPr>
          <w:lang w:eastAsia="zh-CN"/>
        </w:rPr>
      </w:pPr>
      <w:r>
        <w:rPr>
          <w:rFonts w:ascii="Times New Roman" w:hAnsi="Times New Roman" w:eastAsia="黑体"/>
          <w:b/>
          <w:sz w:val="26"/>
          <w:lang w:eastAsia="zh-CN"/>
        </w:rPr>
        <w:t>六、廉洁管控</w:t>
      </w:r>
    </w:p>
    <w:p w14:paraId="0F8C5B3B">
      <w:pPr>
        <w:spacing w:after="0" w:line="360" w:lineRule="auto"/>
        <w:ind w:firstLine="420"/>
        <w:rPr>
          <w:lang w:eastAsia="zh-CN"/>
        </w:rPr>
      </w:pPr>
      <w:r>
        <w:rPr>
          <w:rFonts w:ascii="Times New Roman" w:hAnsi="Times New Roman" w:eastAsia="宋体"/>
          <w:sz w:val="24"/>
          <w:lang w:eastAsia="zh-CN"/>
        </w:rPr>
        <w:t>1、介绍贵司企业廉政管理制度、项目人员行为规范、廉洁从业管控体系；</w:t>
      </w:r>
    </w:p>
    <w:p w14:paraId="1694ABE5">
      <w:pPr>
        <w:spacing w:after="0" w:line="360" w:lineRule="auto"/>
        <w:ind w:firstLine="420"/>
        <w:rPr>
          <w:lang w:eastAsia="zh-CN"/>
        </w:rPr>
      </w:pPr>
      <w:r>
        <w:rPr>
          <w:rFonts w:ascii="Times New Roman" w:hAnsi="Times New Roman" w:eastAsia="宋体"/>
          <w:sz w:val="24"/>
          <w:lang w:eastAsia="zh-CN"/>
        </w:rPr>
        <w:t>2、明确针对项目人员吃拿卡要、徇私舞弊、资料造假、企业信息泄露等违规行为的处罚机制、追责制度、赔付标准；</w:t>
      </w:r>
    </w:p>
    <w:p w14:paraId="60933247">
      <w:pPr>
        <w:spacing w:after="0" w:line="360" w:lineRule="auto"/>
        <w:ind w:firstLine="420"/>
        <w:rPr>
          <w:lang w:eastAsia="zh-CN"/>
        </w:rPr>
      </w:pPr>
      <w:r>
        <w:rPr>
          <w:rFonts w:ascii="Times New Roman" w:hAnsi="Times New Roman" w:eastAsia="宋体"/>
          <w:sz w:val="24"/>
          <w:lang w:eastAsia="zh-CN"/>
        </w:rPr>
        <w:t>3、确认可签订专属廉政合作协议、违规追责协议，接受我司廉洁考核与约束。</w:t>
      </w:r>
    </w:p>
    <w:p w14:paraId="09FCAF94">
      <w:pPr>
        <w:spacing w:before="240" w:after="120" w:line="360" w:lineRule="auto"/>
        <w:rPr>
          <w:lang w:eastAsia="zh-CN"/>
        </w:rPr>
      </w:pPr>
      <w:r>
        <w:rPr>
          <w:rFonts w:ascii="Times New Roman" w:hAnsi="Times New Roman" w:eastAsia="黑体"/>
          <w:b/>
          <w:sz w:val="26"/>
          <w:lang w:eastAsia="zh-CN"/>
        </w:rPr>
        <w:t>七、其他</w:t>
      </w:r>
    </w:p>
    <w:p w14:paraId="3DE875D1">
      <w:pPr>
        <w:spacing w:after="0" w:line="360" w:lineRule="auto"/>
        <w:ind w:firstLine="420"/>
        <w:rPr>
          <w:lang w:eastAsia="zh-CN"/>
        </w:rPr>
      </w:pPr>
      <w:r>
        <w:rPr>
          <w:rFonts w:ascii="Times New Roman" w:hAnsi="Times New Roman" w:eastAsia="宋体"/>
          <w:sz w:val="24"/>
          <w:lang w:eastAsia="zh-CN"/>
        </w:rPr>
        <w:t>1、本次提交的所有资质、人员、案例、报价、方案、周期等资料必须真实、准确、有效，一经发现虚假、造假、隐瞒情况，直接取消候选及合作资格。</w:t>
      </w:r>
    </w:p>
    <w:p w14:paraId="19FC9D7B">
      <w:pPr>
        <w:spacing w:after="0" w:line="360" w:lineRule="auto"/>
        <w:ind w:firstLine="420"/>
        <w:rPr>
          <w:lang w:eastAsia="zh-CN"/>
        </w:rPr>
      </w:pPr>
      <w:r>
        <w:rPr>
          <w:rFonts w:ascii="Times New Roman" w:hAnsi="Times New Roman" w:eastAsia="宋体"/>
          <w:sz w:val="24"/>
          <w:lang w:eastAsia="zh-CN"/>
        </w:rPr>
        <w:t>2、合作期间项目核心团队人员未经我司允许不得随意替换，人员更替需提前报备并重新核验资质。</w:t>
      </w:r>
    </w:p>
    <w:p w14:paraId="0B324743">
      <w:pPr>
        <w:spacing w:after="0" w:line="360" w:lineRule="auto"/>
        <w:ind w:firstLine="420"/>
        <w:rPr>
          <w:lang w:eastAsia="zh-CN"/>
        </w:rPr>
      </w:pPr>
      <w:r>
        <w:rPr>
          <w:rFonts w:ascii="Times New Roman" w:hAnsi="Times New Roman" w:eastAsia="宋体"/>
          <w:sz w:val="24"/>
          <w:lang w:eastAsia="zh-CN"/>
        </w:rPr>
        <w:t>3、所有项目交付需严格遵守国家法规及我司质量管理、廉洁管理相关要求，项目过程资料归我司所有。</w:t>
      </w:r>
    </w:p>
    <w:p w14:paraId="22E48512">
      <w:pPr>
        <w:spacing w:after="0" w:line="360" w:lineRule="auto"/>
        <w:ind w:firstLine="420"/>
        <w:rPr>
          <w:lang w:eastAsia="zh-CN"/>
        </w:rPr>
      </w:pPr>
      <w:r>
        <w:rPr>
          <w:rFonts w:ascii="Times New Roman" w:hAnsi="Times New Roman" w:eastAsia="宋体"/>
          <w:sz w:val="24"/>
          <w:lang w:eastAsia="zh-CN"/>
        </w:rPr>
        <w:t>4、本项目定位为长期陪跑服务，非一次性交付；后续驻场外包、供应商专项改善等延伸合作另议。</w:t>
      </w:r>
    </w:p>
    <w:p w14:paraId="33D1D211">
      <w:pPr>
        <w:spacing w:after="0" w:line="360" w:lineRule="auto"/>
        <w:rPr>
          <w:lang w:eastAsia="zh-CN"/>
        </w:rPr>
      </w:pPr>
      <w:r>
        <w:rPr>
          <w:rFonts w:ascii="Times New Roman" w:hAnsi="Times New Roman" w:eastAsia="宋体"/>
          <w:sz w:val="24"/>
          <w:lang w:eastAsia="zh-CN"/>
        </w:rPr>
        <w:t>特此告知！</w:t>
      </w:r>
    </w:p>
    <w:p w14:paraId="13749771">
      <w:pPr>
        <w:spacing w:before="120"/>
        <w:jc w:val="right"/>
        <w:rPr>
          <w:lang w:eastAsia="zh-CN"/>
        </w:rPr>
      </w:pPr>
      <w:r>
        <w:rPr>
          <w:rFonts w:ascii="Times New Roman" w:hAnsi="Times New Roman" w:eastAsia="宋体"/>
          <w:sz w:val="24"/>
          <w:lang w:eastAsia="zh-CN"/>
        </w:rPr>
        <w:t>成都零食有鸣商业管理有限公司</w:t>
      </w:r>
    </w:p>
    <w:p w14:paraId="7AE2858A">
      <w:pPr>
        <w:spacing w:before="120"/>
        <w:jc w:val="right"/>
        <w:rPr>
          <w:lang w:eastAsia="zh-CN"/>
        </w:rPr>
      </w:pPr>
      <w:r>
        <w:rPr>
          <w:rFonts w:ascii="Times New Roman" w:hAnsi="Times New Roman" w:eastAsia="宋体"/>
          <w:sz w:val="24"/>
          <w:lang w:eastAsia="zh-CN"/>
        </w:rPr>
        <w:t>2026年10月26日</w:t>
      </w:r>
    </w:p>
    <w:p w14:paraId="76181583">
      <w:pPr>
        <w:spacing w:before="360"/>
        <w:rPr>
          <w:rFonts w:hint="eastAsia" w:ascii="Times New Roman" w:hAnsi="Times New Roman" w:eastAsia="黑体"/>
          <w:b w:val="0"/>
          <w:bCs/>
          <w:color w:val="auto"/>
          <w:sz w:val="26"/>
          <w:highlight w:val="none"/>
          <w:lang w:eastAsia="zh-CN"/>
        </w:rPr>
      </w:pPr>
      <w:r>
        <w:rPr>
          <w:rFonts w:hint="eastAsia" w:ascii="Times New Roman" w:hAnsi="Times New Roman" w:eastAsia="黑体"/>
          <w:b w:val="0"/>
          <w:bCs/>
          <w:color w:val="auto"/>
          <w:sz w:val="26"/>
          <w:highlight w:val="none"/>
          <w:lang w:val="en-US" w:eastAsia="zh-CN"/>
        </w:rPr>
        <w:t>项目对接人</w:t>
      </w:r>
      <w:r>
        <w:rPr>
          <w:rFonts w:hint="default" w:ascii="Times New Roman" w:hAnsi="Times New Roman" w:eastAsia="黑体"/>
          <w:b w:val="0"/>
          <w:bCs/>
          <w:color w:val="auto"/>
          <w:sz w:val="26"/>
          <w:highlight w:val="none"/>
          <w:lang w:val="en-US" w:eastAsia="zh-CN"/>
        </w:rPr>
        <w:t>:</w:t>
      </w:r>
      <w:r>
        <w:rPr>
          <w:rFonts w:hint="eastAsia" w:ascii="Times New Roman" w:hAnsi="Times New Roman" w:eastAsia="黑体"/>
          <w:b w:val="0"/>
          <w:bCs/>
          <w:color w:val="auto"/>
          <w:sz w:val="26"/>
          <w:highlight w:val="none"/>
          <w:lang w:val="en-US" w:eastAsia="zh-CN"/>
        </w:rPr>
        <w:t xml:space="preserve">田升瑞 </w:t>
      </w:r>
    </w:p>
    <w:p w14:paraId="662353A9">
      <w:pPr>
        <w:spacing w:before="360"/>
        <w:rPr>
          <w:rFonts w:hint="eastAsia" w:ascii="Times New Roman" w:hAnsi="Times New Roman" w:eastAsia="黑体"/>
          <w:b w:val="0"/>
          <w:bCs/>
          <w:color w:val="auto"/>
          <w:sz w:val="26"/>
          <w:highlight w:val="none"/>
          <w:lang w:eastAsia="zh-CN"/>
        </w:rPr>
      </w:pPr>
      <w:r>
        <w:rPr>
          <w:rFonts w:hint="eastAsia" w:ascii="Times New Roman" w:hAnsi="Times New Roman" w:eastAsia="黑体"/>
          <w:b w:val="0"/>
          <w:bCs/>
          <w:color w:val="auto"/>
          <w:sz w:val="26"/>
          <w:highlight w:val="none"/>
          <w:lang w:val="en-US" w:eastAsia="zh-CN"/>
        </w:rPr>
        <w:t>联系电话</w:t>
      </w:r>
      <w:r>
        <w:rPr>
          <w:rFonts w:hint="default" w:ascii="Times New Roman" w:hAnsi="Times New Roman" w:eastAsia="黑体"/>
          <w:b w:val="0"/>
          <w:bCs/>
          <w:color w:val="auto"/>
          <w:sz w:val="26"/>
          <w:highlight w:val="none"/>
          <w:lang w:val="en-US" w:eastAsia="zh-CN"/>
        </w:rPr>
        <w:t xml:space="preserve">:13438886874 </w:t>
      </w:r>
    </w:p>
    <w:p w14:paraId="250E7D4A">
      <w:pPr>
        <w:spacing w:before="360"/>
        <w:rPr>
          <w:rFonts w:hint="eastAsia" w:ascii="Times New Roman" w:hAnsi="Times New Roman" w:eastAsia="黑体"/>
          <w:b w:val="0"/>
          <w:bCs/>
          <w:color w:val="auto"/>
          <w:sz w:val="26"/>
          <w:highlight w:val="none"/>
          <w:lang w:eastAsia="zh-CN"/>
        </w:rPr>
      </w:pPr>
      <w:r>
        <w:rPr>
          <w:rFonts w:hint="eastAsia" w:ascii="Times New Roman" w:hAnsi="Times New Roman" w:eastAsia="黑体"/>
          <w:b w:val="0"/>
          <w:bCs/>
          <w:color w:val="auto"/>
          <w:sz w:val="26"/>
          <w:highlight w:val="none"/>
          <w:lang w:val="en-US" w:eastAsia="zh-CN"/>
        </w:rPr>
        <w:t>电子邮箱</w:t>
      </w:r>
      <w:r>
        <w:rPr>
          <w:rFonts w:hint="default" w:ascii="Times New Roman" w:hAnsi="Times New Roman" w:eastAsia="黑体"/>
          <w:b w:val="0"/>
          <w:bCs/>
          <w:color w:val="auto"/>
          <w:sz w:val="26"/>
          <w:highlight w:val="none"/>
          <w:lang w:val="en-US" w:eastAsia="zh-CN"/>
        </w:rPr>
        <w:t>(</w:t>
      </w:r>
      <w:r>
        <w:rPr>
          <w:rFonts w:hint="eastAsia" w:ascii="Times New Roman" w:hAnsi="Times New Roman" w:eastAsia="黑体"/>
          <w:b w:val="0"/>
          <w:bCs/>
          <w:color w:val="auto"/>
          <w:sz w:val="26"/>
          <w:highlight w:val="none"/>
          <w:lang w:val="en-US" w:eastAsia="zh-CN"/>
        </w:rPr>
        <w:t>方案资料接收邮箱</w:t>
      </w:r>
      <w:r>
        <w:rPr>
          <w:rFonts w:hint="default" w:ascii="Times New Roman" w:hAnsi="Times New Roman" w:eastAsia="黑体"/>
          <w:b w:val="0"/>
          <w:bCs/>
          <w:color w:val="auto"/>
          <w:sz w:val="26"/>
          <w:highlight w:val="none"/>
          <w:lang w:val="en-US" w:eastAsia="zh-CN"/>
        </w:rPr>
        <w:t>):</w:t>
      </w:r>
      <w:r>
        <w:rPr>
          <w:rFonts w:hint="default" w:ascii="Times New Roman" w:hAnsi="Times New Roman" w:eastAsia="黑体"/>
          <w:b w:val="0"/>
          <w:bCs/>
          <w:color w:val="auto"/>
          <w:sz w:val="26"/>
          <w:highlight w:val="none"/>
          <w:lang w:val="en-US" w:eastAsia="zh-CN"/>
        </w:rPr>
        <w:fldChar w:fldCharType="begin"/>
      </w:r>
      <w:r>
        <w:rPr>
          <w:rFonts w:hint="default" w:ascii="Times New Roman" w:hAnsi="Times New Roman" w:eastAsia="黑体"/>
          <w:b w:val="0"/>
          <w:bCs/>
          <w:color w:val="auto"/>
          <w:sz w:val="26"/>
          <w:highlight w:val="none"/>
          <w:lang w:val="en-US" w:eastAsia="zh-CN"/>
        </w:rPr>
        <w:instrText xml:space="preserve"> HYPERLINK "mailto:zhaotoubiao@cdlsym.com" </w:instrText>
      </w:r>
      <w:r>
        <w:rPr>
          <w:rFonts w:hint="default" w:ascii="Times New Roman" w:hAnsi="Times New Roman" w:eastAsia="黑体"/>
          <w:b w:val="0"/>
          <w:bCs/>
          <w:color w:val="auto"/>
          <w:sz w:val="26"/>
          <w:highlight w:val="none"/>
          <w:lang w:val="en-US" w:eastAsia="zh-CN"/>
        </w:rPr>
        <w:fldChar w:fldCharType="separate"/>
      </w:r>
      <w:r>
        <w:rPr>
          <w:rFonts w:hint="default" w:ascii="Times New Roman" w:hAnsi="Times New Roman" w:eastAsia="黑体"/>
          <w:b w:val="0"/>
          <w:bCs/>
          <w:color w:val="auto"/>
          <w:sz w:val="26"/>
          <w:highlight w:val="none"/>
          <w:lang w:eastAsia="zh-CN"/>
        </w:rPr>
        <w:t>zhaotoubiao@cdlsym.com</w:t>
      </w:r>
      <w:r>
        <w:rPr>
          <w:rFonts w:hint="default" w:ascii="Times New Roman" w:hAnsi="Times New Roman" w:eastAsia="黑体"/>
          <w:b w:val="0"/>
          <w:bCs/>
          <w:color w:val="auto"/>
          <w:sz w:val="26"/>
          <w:highlight w:val="none"/>
          <w:lang w:val="en-US" w:eastAsia="zh-CN"/>
        </w:rPr>
        <w:fldChar w:fldCharType="end"/>
      </w:r>
      <w:r>
        <w:rPr>
          <w:rFonts w:hint="eastAsia" w:ascii="Times New Roman" w:hAnsi="Times New Roman" w:eastAsia="黑体"/>
          <w:b w:val="0"/>
          <w:bCs/>
          <w:color w:val="auto"/>
          <w:sz w:val="26"/>
          <w:highlight w:val="none"/>
          <w:lang w:val="en-US" w:eastAsia="zh-CN"/>
        </w:rPr>
        <w:t xml:space="preserve"> </w:t>
      </w:r>
    </w:p>
    <w:p w14:paraId="7114230E">
      <w:pPr>
        <w:spacing w:before="360"/>
        <w:rPr>
          <w:rFonts w:hint="eastAsia" w:ascii="Times New Roman" w:hAnsi="Times New Roman" w:eastAsia="黑体"/>
          <w:b w:val="0"/>
          <w:bCs/>
          <w:color w:val="auto"/>
          <w:sz w:val="26"/>
          <w:highlight w:val="none"/>
          <w:lang w:eastAsia="zh-CN"/>
        </w:rPr>
      </w:pPr>
      <w:r>
        <w:rPr>
          <w:rFonts w:hint="eastAsia" w:ascii="Times New Roman" w:hAnsi="Times New Roman" w:eastAsia="黑体"/>
          <w:b w:val="0"/>
          <w:bCs/>
          <w:color w:val="auto"/>
          <w:sz w:val="26"/>
          <w:highlight w:val="none"/>
          <w:lang w:val="en-US" w:eastAsia="zh-CN"/>
        </w:rPr>
        <w:t>地址</w:t>
      </w:r>
      <w:r>
        <w:rPr>
          <w:rFonts w:hint="default" w:ascii="Times New Roman" w:hAnsi="Times New Roman" w:eastAsia="黑体"/>
          <w:b w:val="0"/>
          <w:bCs/>
          <w:color w:val="auto"/>
          <w:sz w:val="26"/>
          <w:highlight w:val="none"/>
          <w:lang w:val="en-US" w:eastAsia="zh-CN"/>
        </w:rPr>
        <w:t>:</w:t>
      </w:r>
      <w:r>
        <w:rPr>
          <w:rFonts w:hint="eastAsia" w:ascii="Times New Roman" w:hAnsi="Times New Roman" w:eastAsia="黑体"/>
          <w:b w:val="0"/>
          <w:bCs/>
          <w:color w:val="auto"/>
          <w:sz w:val="26"/>
          <w:highlight w:val="none"/>
          <w:lang w:val="en-US" w:eastAsia="zh-CN"/>
        </w:rPr>
        <w:t>四川省成都市锦江区东大路</w:t>
      </w:r>
      <w:r>
        <w:rPr>
          <w:rFonts w:hint="default" w:ascii="Times New Roman" w:hAnsi="Times New Roman" w:eastAsia="黑体"/>
          <w:b w:val="0"/>
          <w:bCs/>
          <w:color w:val="auto"/>
          <w:sz w:val="26"/>
          <w:highlight w:val="none"/>
          <w:lang w:val="en-US" w:eastAsia="zh-CN"/>
        </w:rPr>
        <w:t>577</w:t>
      </w:r>
      <w:r>
        <w:rPr>
          <w:rFonts w:hint="eastAsia" w:ascii="Times New Roman" w:hAnsi="Times New Roman" w:eastAsia="黑体"/>
          <w:b w:val="0"/>
          <w:bCs/>
          <w:color w:val="auto"/>
          <w:sz w:val="26"/>
          <w:highlight w:val="none"/>
          <w:lang w:val="en-US" w:eastAsia="zh-CN"/>
        </w:rPr>
        <w:t>号</w:t>
      </w:r>
      <w:r>
        <w:rPr>
          <w:rFonts w:hint="default" w:ascii="Times New Roman" w:hAnsi="Times New Roman" w:eastAsia="黑体"/>
          <w:b w:val="0"/>
          <w:bCs/>
          <w:color w:val="auto"/>
          <w:sz w:val="26"/>
          <w:highlight w:val="none"/>
          <w:lang w:val="en-US" w:eastAsia="zh-CN"/>
        </w:rPr>
        <w:t>1</w:t>
      </w:r>
      <w:r>
        <w:rPr>
          <w:rFonts w:hint="eastAsia" w:ascii="Times New Roman" w:hAnsi="Times New Roman" w:eastAsia="黑体"/>
          <w:b w:val="0"/>
          <w:bCs/>
          <w:color w:val="auto"/>
          <w:sz w:val="26"/>
          <w:highlight w:val="none"/>
          <w:lang w:val="en-US" w:eastAsia="zh-CN"/>
        </w:rPr>
        <w:t>栋</w:t>
      </w:r>
      <w:r>
        <w:rPr>
          <w:rFonts w:hint="default" w:ascii="Times New Roman" w:hAnsi="Times New Roman" w:eastAsia="黑体"/>
          <w:b w:val="0"/>
          <w:bCs/>
          <w:color w:val="auto"/>
          <w:sz w:val="26"/>
          <w:highlight w:val="none"/>
          <w:lang w:val="en-US" w:eastAsia="zh-CN"/>
        </w:rPr>
        <w:t>31</w:t>
      </w:r>
      <w:r>
        <w:rPr>
          <w:rFonts w:hint="eastAsia" w:ascii="Times New Roman" w:hAnsi="Times New Roman" w:eastAsia="黑体"/>
          <w:b w:val="0"/>
          <w:bCs/>
          <w:color w:val="auto"/>
          <w:sz w:val="26"/>
          <w:highlight w:val="none"/>
          <w:lang w:val="en-US" w:eastAsia="zh-CN"/>
        </w:rPr>
        <w:t>层</w:t>
      </w:r>
    </w:p>
    <w:p w14:paraId="7EC0E5A3">
      <w:pPr>
        <w:spacing w:before="360"/>
        <w:rPr>
          <w:rFonts w:ascii="Times New Roman" w:hAnsi="Times New Roman" w:eastAsia="黑体"/>
          <w:b/>
          <w:color w:val="EE0000"/>
          <w:sz w:val="26"/>
          <w:highlight w:val="yellow"/>
          <w:lang w:eastAsia="zh-CN"/>
        </w:rPr>
      </w:pPr>
    </w:p>
    <w:p w14:paraId="5F2A07E0">
      <w:pPr>
        <w:spacing w:before="360"/>
        <w:rPr>
          <w:color w:val="auto"/>
          <w:highlight w:val="none"/>
          <w:lang w:eastAsia="zh-CN"/>
        </w:rPr>
      </w:pPr>
      <w:r>
        <w:rPr>
          <w:rFonts w:ascii="Times New Roman" w:hAnsi="Times New Roman" w:eastAsia="黑体"/>
          <w:b/>
          <w:color w:val="auto"/>
          <w:sz w:val="26"/>
          <w:highlight w:val="none"/>
          <w:lang w:eastAsia="zh-CN"/>
        </w:rPr>
        <w:t>方案提报/面谈安排</w:t>
      </w:r>
    </w:p>
    <w:p w14:paraId="6A7D093E">
      <w:pPr>
        <w:spacing w:after="0" w:line="360" w:lineRule="auto"/>
        <w:rPr>
          <w:color w:val="auto"/>
          <w:highlight w:val="none"/>
          <w:lang w:eastAsia="zh-CN"/>
        </w:rPr>
      </w:pPr>
      <w:r>
        <w:rPr>
          <w:rFonts w:ascii="Times New Roman" w:hAnsi="Times New Roman" w:eastAsia="宋体"/>
          <w:color w:val="auto"/>
          <w:sz w:val="24"/>
          <w:highlight w:val="none"/>
          <w:lang w:eastAsia="zh-CN"/>
        </w:rPr>
        <w:t>方案提报截止时间：</w:t>
      </w:r>
      <w:r>
        <w:rPr>
          <w:rFonts w:hint="eastAsia" w:ascii="Times New Roman" w:hAnsi="Times New Roman" w:eastAsia="宋体"/>
          <w:color w:val="auto"/>
          <w:sz w:val="24"/>
          <w:highlight w:val="none"/>
          <w:lang w:val="en-US" w:eastAsia="zh-CN"/>
        </w:rPr>
        <w:t>2026</w:t>
      </w:r>
      <w:r>
        <w:rPr>
          <w:rFonts w:ascii="Times New Roman" w:hAnsi="Times New Roman" w:eastAsia="宋体"/>
          <w:color w:val="auto"/>
          <w:sz w:val="24"/>
          <w:highlight w:val="none"/>
          <w:lang w:eastAsia="zh-CN"/>
        </w:rPr>
        <w:t>年</w:t>
      </w:r>
      <w:r>
        <w:rPr>
          <w:rFonts w:hint="eastAsia" w:ascii="Times New Roman" w:hAnsi="Times New Roman" w:eastAsia="宋体"/>
          <w:color w:val="auto"/>
          <w:sz w:val="24"/>
          <w:highlight w:val="none"/>
          <w:lang w:val="en-US" w:eastAsia="zh-CN"/>
        </w:rPr>
        <w:t>11</w:t>
      </w:r>
      <w:r>
        <w:rPr>
          <w:rFonts w:ascii="Times New Roman" w:hAnsi="Times New Roman" w:eastAsia="宋体"/>
          <w:color w:val="auto"/>
          <w:sz w:val="24"/>
          <w:highlight w:val="none"/>
          <w:lang w:eastAsia="zh-CN"/>
        </w:rPr>
        <w:t>月</w:t>
      </w:r>
      <w:r>
        <w:rPr>
          <w:rFonts w:hint="eastAsia" w:ascii="Times New Roman" w:hAnsi="Times New Roman" w:eastAsia="宋体"/>
          <w:color w:val="auto"/>
          <w:sz w:val="24"/>
          <w:highlight w:val="none"/>
          <w:lang w:val="en-US" w:eastAsia="zh-CN"/>
        </w:rPr>
        <w:t>5</w:t>
      </w:r>
      <w:r>
        <w:rPr>
          <w:rFonts w:ascii="Times New Roman" w:hAnsi="Times New Roman" w:eastAsia="宋体"/>
          <w:color w:val="auto"/>
          <w:sz w:val="24"/>
          <w:highlight w:val="none"/>
          <w:lang w:eastAsia="zh-CN"/>
        </w:rPr>
        <w:t>日</w:t>
      </w:r>
    </w:p>
    <w:p w14:paraId="639E8949">
      <w:pPr>
        <w:spacing w:after="0" w:line="360" w:lineRule="auto"/>
        <w:rPr>
          <w:color w:val="auto"/>
          <w:highlight w:val="none"/>
          <w:lang w:eastAsia="zh-CN"/>
        </w:rPr>
      </w:pPr>
      <w:r>
        <w:rPr>
          <w:rFonts w:ascii="Times New Roman" w:hAnsi="Times New Roman" w:eastAsia="宋体"/>
          <w:color w:val="auto"/>
          <w:sz w:val="24"/>
          <w:highlight w:val="none"/>
          <w:lang w:eastAsia="zh-CN"/>
        </w:rPr>
        <w:t>面谈安排：初筛通过后现场面谈，具体时间及地址以通知为准。</w:t>
      </w:r>
      <w:bookmarkStart w:id="0" w:name="_GoBack"/>
      <w:bookmarkEnd w:id="0"/>
    </w:p>
    <w:sectPr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C13C6"/>
    <w:rsid w:val="004B118B"/>
    <w:rsid w:val="005258F9"/>
    <w:rsid w:val="006F624F"/>
    <w:rsid w:val="00A4167B"/>
    <w:rsid w:val="00AA1D8D"/>
    <w:rsid w:val="00B47730"/>
    <w:rsid w:val="00BB686D"/>
    <w:rsid w:val="00CB0664"/>
    <w:rsid w:val="00FC693F"/>
    <w:rsid w:val="00FD68BE"/>
    <w:rsid w:val="3157A961"/>
    <w:rsid w:val="4BAB3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styleId="135">
    <w:name w:val="Hyperlink"/>
    <w:basedOn w:val="132"/>
    <w:semiHidden/>
    <w:unhideWhenUsed/>
    <w:uiPriority w:val="99"/>
    <w:rPr>
      <w:color w:val="0000FF"/>
      <w:u w:val="single"/>
    </w:rPr>
  </w:style>
  <w:style w:type="character" w:customStyle="1" w:styleId="136">
    <w:name w:val="页眉 字符"/>
    <w:basedOn w:val="132"/>
    <w:link w:val="25"/>
    <w:uiPriority w:val="99"/>
  </w:style>
  <w:style w:type="character" w:customStyle="1" w:styleId="137">
    <w:name w:val="页脚 字符"/>
    <w:basedOn w:val="132"/>
    <w:link w:val="24"/>
    <w:uiPriority w:val="99"/>
  </w:style>
  <w:style w:type="paragraph" w:styleId="138">
    <w:name w:val="No Spacing"/>
    <w:qFormat/>
    <w:uiPriority w:val="1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标题 1 字符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标题 2 字符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标题 3 字符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标题 字符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副标题 字符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正文文本 字符"/>
    <w:basedOn w:val="132"/>
    <w:link w:val="19"/>
    <w:uiPriority w:val="99"/>
  </w:style>
  <w:style w:type="character" w:customStyle="1" w:styleId="146">
    <w:name w:val="正文文本 2 字符"/>
    <w:basedOn w:val="132"/>
    <w:link w:val="28"/>
    <w:uiPriority w:val="99"/>
  </w:style>
  <w:style w:type="character" w:customStyle="1" w:styleId="147">
    <w:name w:val="正文文本 3 字符"/>
    <w:basedOn w:val="132"/>
    <w:link w:val="17"/>
    <w:uiPriority w:val="99"/>
    <w:rPr>
      <w:sz w:val="16"/>
      <w:szCs w:val="16"/>
    </w:rPr>
  </w:style>
  <w:style w:type="character" w:customStyle="1" w:styleId="148">
    <w:name w:val="宏文本 字符"/>
    <w:basedOn w:val="132"/>
    <w:link w:val="2"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引用 字符"/>
    <w:basedOn w:val="132"/>
    <w:link w:val="149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标题 4 字符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标题 5 字符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标题 6 字符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标题 7 字符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标题 8 字符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标题 9 字符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明显引用 字符"/>
    <w:basedOn w:val="132"/>
    <w:link w:val="157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不明显强调1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明显强调1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不明显参考1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明显参考1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书籍标题1"/>
    <w:basedOn w:val="132"/>
    <w:qFormat/>
    <w:uiPriority w:val="33"/>
    <w:rPr>
      <w:b/>
      <w:bCs/>
      <w:smallCaps/>
      <w:spacing w:val="5"/>
    </w:rPr>
  </w:style>
  <w:style w:type="paragraph" w:customStyle="1" w:styleId="164">
    <w:name w:val="TOC 标题1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2254</Words>
  <Characters>2341</Characters>
  <Lines>46</Lines>
  <Paragraphs>53</Paragraphs>
  <TotalTime>4</TotalTime>
  <ScaleCrop>false</ScaleCrop>
  <LinksUpToDate>false</LinksUpToDate>
  <CharactersWithSpaces>2345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2026-10-26T07:55:00Z</dcterms:created>
  <dc:creator>python-docx</dc:creator>
  <dc:description>generated by python-docx</dc:description>
  <cp:lastModifiedBy>花看半开</cp:lastModifiedBy>
  <dcterms:modified xsi:type="dcterms:W3CDTF">2026-10-26T08:06:06Z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DF3566D7386F2A9BD8E8DE6A9D81370F_42</vt:lpwstr>
  </property>
  <property fmtid="{D5CDD505-2E9C-101B-9397-08002B2CF9AE}" pid="4" name="KSOTemplateDocerSaveRecord">
    <vt:lpwstr>eyJoZGlkIjoiOGI0ZGVkMjc1YTBlYzlkYzY5NDM0Y2NiOTkzNTgwZjAiLCJ1c2VySWQiOiI2OTgxNDQ2NzQifQ==</vt:lpwstr>
  </property>
</Properties>
</file>